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420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4206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Treace John 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65" w:lineRule="auto"/>
        <w:rPr>
          <w:sz w:val="20"/>
          <w:szCs w:val="20"/>
          <w:color w:val="auto"/>
        </w:rPr>
      </w:pPr>
      <w:r>
        <w:rPr>
          <w:rFonts w:ascii="Times New Roman" w:cs="Times New Roman" w:eastAsia="Times New Roman" w:hAnsi="Times New Roman"/>
          <w:sz w:val="17"/>
          <w:szCs w:val="17"/>
          <w:color w:val="0000FF"/>
        </w:rPr>
        <w:t>C/O TREACE MEDICAL CONCEPTS, INC. 100 PALMETTO PARK PLACE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PONTE</w:t>
            </w: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32081</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VEDRA</w:t>
            </w:r>
          </w:p>
        </w:tc>
        <w:tc>
          <w:tcPr>
            <w:tcW w:w="11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TREACE MEDICAL CONCEPTS,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TMCI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1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05/26/2026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40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5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05/26/2026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4,508</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2.7897</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7,162,821</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05/27/2026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49,810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2.8747</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7,212,631</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center"/>
              <w:ind w:left="507"/>
              <w:spacing w:after="0"/>
              <w:rPr>
                <w:sz w:val="20"/>
                <w:szCs w:val="20"/>
                <w:color w:val="auto"/>
              </w:rPr>
            </w:pPr>
            <w:r>
              <w:rPr>
                <w:rFonts w:ascii="Times New Roman" w:cs="Times New Roman" w:eastAsia="Times New Roman" w:hAnsi="Times New Roman"/>
                <w:sz w:val="17"/>
                <w:szCs w:val="17"/>
                <w:color w:val="0000FF"/>
              </w:rPr>
              <w:t>05/28/2026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61,202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3.0199</w:t>
            </w:r>
            <w:r>
              <w:rPr>
                <w:rFonts w:ascii="Times New Roman" w:cs="Times New Roman" w:eastAsia="Times New Roman" w:hAnsi="Times New Roman"/>
                <w:sz w:val="22"/>
                <w:szCs w:val="22"/>
                <w:color w:val="008000"/>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7,273,833</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1,605,000</w:t>
            </w:r>
            <w:r>
              <w:rPr>
                <w:rFonts w:ascii="Times New Roman" w:cs="Times New Roman" w:eastAsia="Times New Roman" w:hAnsi="Times New Roman"/>
                <w:sz w:val="22"/>
                <w:szCs w:val="22"/>
                <w:color w:val="008000"/>
                <w:w w:val="96"/>
                <w:vertAlign w:val="superscript"/>
              </w:rPr>
              <w:t>(3)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1,471,250</w:t>
            </w:r>
            <w:r>
              <w:rPr>
                <w:rFonts w:ascii="Times New Roman" w:cs="Times New Roman" w:eastAsia="Times New Roman" w:hAnsi="Times New Roman"/>
                <w:sz w:val="22"/>
                <w:szCs w:val="22"/>
                <w:color w:val="008000"/>
                <w:w w:val="96"/>
                <w:vertAlign w:val="superscript"/>
              </w:rPr>
              <w:t>(3)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a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1,839,063</w:t>
            </w:r>
            <w:r>
              <w:rPr>
                <w:rFonts w:ascii="Times New Roman" w:cs="Times New Roman" w:eastAsia="Times New Roman" w:hAnsi="Times New Roman"/>
                <w:sz w:val="22"/>
                <w:szCs w:val="22"/>
                <w:color w:val="008000"/>
                <w:w w:val="96"/>
                <w:vertAlign w:val="superscript"/>
              </w:rPr>
              <w:t>(6)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a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 co-</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408,816</w:t>
            </w:r>
            <w:r>
              <w:rPr>
                <w:rFonts w:ascii="Times New Roman" w:cs="Times New Roman" w:eastAsia="Times New Roman" w:hAnsi="Times New Roman"/>
                <w:sz w:val="22"/>
                <w:szCs w:val="22"/>
                <w:color w:val="008000"/>
                <w:w w:val="96"/>
                <w:vertAlign w:val="superscript"/>
              </w:rPr>
              <w:t>(6)</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a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purchase price. These shares were bought in multiple transactions at prices ranging from $2.7600 to $2.8000 inclusive. The reporting person undertakes to provide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542,784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shares held by his wife directly or in trusts for which his wife serves as trustee or co-trustee.</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purchase price. These shares were bought in multiple transactions at prices ranging from $2.7976 to $2.9400 inclusive. The reporting person undertakes to provide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purchase price. These shares were bought in multiple transactions at prices ranging from $2.8233 to $3.1150 inclusive. The reporting person</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the Issuer, any security holder of the Issuer, or the staff of the Securities and Exchange Commission, upon request, full information regarding the number of shares bought at each separate price within the range set forth in this footnote.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6. The Reporting Person disclaims beneficial ownership of shares held in trust for which he serves as trustee or co-trustee.</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Lisa Taylor as Attorney-in- </w:t>
      </w:r>
      <w:r>
        <w:rPr>
          <w:rFonts w:ascii="Times New Roman" w:cs="Times New Roman" w:eastAsia="Times New Roman" w:hAnsi="Times New Roman"/>
          <w:sz w:val="34"/>
          <w:szCs w:val="34"/>
          <w:color w:val="0000FF"/>
          <w:vertAlign w:val="subscript"/>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 for John Treace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878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7884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2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56380" TargetMode="External"/><Relationship Id="rId14" Type="http://schemas.openxmlformats.org/officeDocument/2006/relationships/hyperlink" Target="http://www.sec.gov/cgi-bin/browse-edgar?action=getcompany&amp;CIK=00016306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2026-05-28T17:33:43Z</dcterms:created>
  <dcterms:modified xsi:type="dcterms:W3CDTF">2026-05-28T17:33:43Z</dcterms:modified>
</cp:coreProperties>
</file>