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Hair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TREACE MEDICAL CONCEPTS, INC. 100 PALMETTO PARK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PONTE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w w:val="98"/>
              </w:rPr>
              <w:t>32081</w:t>
            </w:r>
          </w:p>
        </w:tc>
        <w:tc>
          <w:tcPr>
            <w:tcW w:w="0" w:type="dxa"/>
            <w:vAlign w:val="bottom"/>
          </w:tcPr>
          <w:p>
            <w:pPr>
              <w:spacing w:after="0"/>
              <w:rPr>
                <w:sz w:val="1"/>
                <w:szCs w:val="1"/>
                <w:color w:val="auto"/>
              </w:rPr>
            </w:pPr>
          </w:p>
        </w:tc>
      </w:tr>
      <w:tr>
        <w:trPr>
          <w:trHeight w:val="120"/>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VEDRA</w:t>
            </w:r>
          </w:p>
        </w:tc>
        <w:tc>
          <w:tcPr>
            <w:tcW w:w="11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960" w:type="dxa"/>
            <w:vAlign w:val="bottom"/>
          </w:tcPr>
          <w:p>
            <w:pPr>
              <w:ind w:left="40"/>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84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2"/>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TREACE MEDICAL CONCEPTS, INC. </w:t>
              </w:r>
            </w:hyperlink>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TMCI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2"/>
                <w:szCs w:val="12"/>
                <w:color w:val="auto"/>
              </w:rPr>
            </w:pPr>
          </w:p>
        </w:tc>
        <w:tc>
          <w:tcPr>
            <w:tcW w:w="1860" w:type="dxa"/>
            <w:vAlign w:val="bottom"/>
          </w:tcPr>
          <w:p>
            <w:pPr>
              <w:ind w:left="6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3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35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320" w:space="5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100,000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963,549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units ("PSUs") for which the Reporting Person is entitled to receive one (1) share of issuer's Common Stock for each PSU upon vesting. The PSUs were earned upon the Compensation Committee's certification of accomplishment of a performance goal and will vest 25% on April 15, 2026 and 25% on each February 15 of 2027, 2028, and 2029, subject to the Reporting Person's continued service through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811,691 restricted stock units.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Lisa Taylor as Attorney-in- </w:t>
      </w:r>
      <w:r>
        <w:rPr>
          <w:rFonts w:ascii="Times New Roman" w:cs="Times New Roman" w:eastAsia="Times New Roman" w:hAnsi="Times New Roman"/>
          <w:sz w:val="34"/>
          <w:szCs w:val="34"/>
          <w:color w:val="0000FF"/>
          <w:vertAlign w:val="subscript"/>
        </w:rPr>
        <w:t>04/03/2026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Mark Hair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08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5070" TargetMode="External"/><Relationship Id="rId14" Type="http://schemas.openxmlformats.org/officeDocument/2006/relationships/hyperlink" Target="http://www.sec.gov/cgi-bin/browse-edgar?action=getcompany&amp;CIK=00016306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2026-04-03T20:02:29Z</dcterms:created>
  <dcterms:modified xsi:type="dcterms:W3CDTF">2026-04-03T20:02:29Z</dcterms:modified>
</cp:coreProperties>
</file>