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483235</wp:posOffset>
            </wp:positionV>
            <wp:extent cx="7132320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500380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SECURITIES AND EXCHANGE COMMISSION</w:t>
      </w: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Washington, D.C. 20549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SCHEDULE 14A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Proxy Statement Pursuant to Section 14(a) of the Securities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tabs>
          <w:tab w:leader="none" w:pos="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Exchange Act of 1934 (Amendment No.</w:t>
        <w:tab/>
        <w:t>)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2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60" w:hanging="352"/>
        <w:spacing w:after="0"/>
        <w:tabs>
          <w:tab w:leader="none" w:pos="3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Pursuant to §240.14a-12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6"/>
          <w:szCs w:val="36"/>
          <w:b w:val="1"/>
          <w:bCs w:val="1"/>
          <w:color w:val="auto"/>
        </w:rPr>
        <w:t>Treace Medical Concepts,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ind w:right="-1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-127635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(Name of Person(s) Filing Proxy Statement, if other than the Registrant)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-120650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Payment of Filing Fee (Check all boxes that apply):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No fee required.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paid previously with preliminary materials.</w:t>
      </w:r>
    </w:p>
    <w:p>
      <w:pPr>
        <w:spacing w:after="0" w:line="24" w:lineRule="exact"/>
        <w:rPr>
          <w:rFonts w:ascii="MS PGothic" w:cs="MS PGothic" w:eastAsia="MS PGothic" w:hAnsi="MS PGothic"/>
          <w:sz w:val="16"/>
          <w:szCs w:val="16"/>
          <w:color w:val="auto"/>
        </w:rPr>
      </w:pPr>
    </w:p>
    <w:p>
      <w:pPr>
        <w:ind w:left="340" w:hanging="332"/>
        <w:spacing w:after="0"/>
        <w:tabs>
          <w:tab w:leader="none" w:pos="34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6"/>
          <w:szCs w:val="16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647700</wp:posOffset>
            </wp:positionV>
            <wp:extent cx="7157720" cy="42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42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103505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120650</wp:posOffset>
            </wp:positionV>
            <wp:extent cx="71323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101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414655</wp:posOffset>
            </wp:positionV>
            <wp:extent cx="7157720" cy="84137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1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195580</wp:posOffset>
            </wp:positionH>
            <wp:positionV relativeFrom="page">
              <wp:posOffset>414655</wp:posOffset>
            </wp:positionV>
            <wp:extent cx="7157720" cy="841375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7720" cy="8413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2026-04-06T07:51:35Z</dcterms:created>
  <dcterms:modified xsi:type="dcterms:W3CDTF">2026-04-06T07:51:35Z</dcterms:modified>
</cp:coreProperties>
</file>