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715010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4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23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Form 10-Q</w:t>
      </w:r>
    </w:p>
    <w:p>
      <w:pPr>
        <w:spacing w:after="0" w:line="196"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98" w:lineRule="exact"/>
        <w:rPr>
          <w:sz w:val="24"/>
          <w:szCs w:val="24"/>
          <w:color w:val="auto"/>
        </w:rPr>
      </w:pPr>
    </w:p>
    <w:p>
      <w:pPr>
        <w:ind w:left="3820" w:right="1580" w:hanging="3812"/>
        <w:spacing w:after="0" w:line="412" w:lineRule="auto"/>
        <w:tabs>
          <w:tab w:leader="none" w:pos="378"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March 31, 2026</w:t>
      </w:r>
    </w:p>
    <w:p>
      <w:pPr>
        <w:spacing w:after="0" w:line="15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17" w:lineRule="exact"/>
        <w:rPr>
          <w:sz w:val="24"/>
          <w:szCs w:val="24"/>
          <w:color w:val="auto"/>
        </w:rPr>
      </w:pPr>
    </w:p>
    <w:p>
      <w:pPr>
        <w:ind w:left="4100" w:right="1580" w:hanging="4092"/>
        <w:spacing w:after="0" w:line="375" w:lineRule="auto"/>
        <w:tabs>
          <w:tab w:leader="none" w:pos="375"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from___ to___</w:t>
      </w:r>
    </w:p>
    <w:p>
      <w:pPr>
        <w:spacing w:after="0" w:line="1" w:lineRule="exact"/>
        <w:rPr>
          <w:rFonts w:ascii="MS PGothic" w:cs="MS PGothic" w:eastAsia="MS PGothic" w:hAnsi="MS PGothic"/>
          <w:sz w:val="18"/>
          <w:szCs w:val="18"/>
          <w:color w:val="auto"/>
        </w:rPr>
      </w:pPr>
    </w:p>
    <w:p>
      <w:pPr>
        <w:ind w:left="424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Commission file number: 001-40355</w:t>
      </w:r>
    </w:p>
    <w:p>
      <w:pPr>
        <w:spacing w:after="0" w:line="10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9"/>
          <w:szCs w:val="29"/>
          <w:b w:val="1"/>
          <w:bCs w:val="1"/>
          <w:color w:val="auto"/>
        </w:rPr>
        <w:t>Treace Medical Concepts, Inc.</w:t>
      </w:r>
    </w:p>
    <w:p>
      <w:pPr>
        <w:spacing w:after="0" w:line="10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3"/>
          <w:szCs w:val="13"/>
          <w:i w:val="1"/>
          <w:iCs w:val="1"/>
          <w:color w:val="auto"/>
        </w:rPr>
        <w:t>(Exact name of registrant as specified in its charter)</w:t>
      </w:r>
    </w:p>
    <w:p>
      <w:pPr>
        <w:sectPr>
          <w:pgSz w:w="11900" w:h="16838" w:orient="portrait"/>
          <w:cols w:equalWidth="0" w:num="1">
            <w:col w:w="11120"/>
          </w:cols>
          <w:pgMar w:left="320" w:top="1259" w:right="459" w:bottom="1440" w:gutter="0" w:footer="0" w:header="0"/>
        </w:sectPr>
      </w:pPr>
    </w:p>
    <w:p>
      <w:pPr>
        <w:spacing w:after="0" w:line="361" w:lineRule="exact"/>
        <w:rPr>
          <w:sz w:val="24"/>
          <w:szCs w:val="24"/>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800"/>
        <w:spacing w:after="0"/>
        <w:rPr>
          <w:sz w:val="20"/>
          <w:szCs w:val="20"/>
          <w:color w:val="auto"/>
        </w:rPr>
      </w:pPr>
      <w:r>
        <w:rPr>
          <w:rFonts w:ascii="Times New Roman" w:cs="Times New Roman" w:eastAsia="Times New Roman" w:hAnsi="Times New Roman"/>
          <w:sz w:val="17"/>
          <w:szCs w:val="17"/>
          <w:i w:val="1"/>
          <w:i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341" w:lineRule="exact"/>
        <w:rPr>
          <w:sz w:val="24"/>
          <w:szCs w:val="24"/>
          <w:color w:val="auto"/>
        </w:rPr>
      </w:pPr>
    </w:p>
    <w:p>
      <w:pPr>
        <w:jc w:val="center"/>
        <w:ind w:right="1400"/>
        <w:spacing w:after="0"/>
        <w:rPr>
          <w:sz w:val="20"/>
          <w:szCs w:val="20"/>
          <w:color w:val="auto"/>
        </w:rPr>
      </w:pPr>
      <w:r>
        <w:rPr>
          <w:rFonts w:ascii="Times New Roman" w:cs="Times New Roman" w:eastAsia="Times New Roman" w:hAnsi="Times New Roman"/>
          <w:sz w:val="18"/>
          <w:szCs w:val="18"/>
          <w:b w:val="1"/>
          <w:bCs w:val="1"/>
          <w:color w:val="auto"/>
        </w:rPr>
        <w:t>47-1052611</w:t>
      </w:r>
    </w:p>
    <w:p>
      <w:pPr>
        <w:spacing w:after="0" w:line="31" w:lineRule="exact"/>
        <w:rPr>
          <w:sz w:val="24"/>
          <w:szCs w:val="24"/>
          <w:color w:val="auto"/>
        </w:rPr>
      </w:pPr>
    </w:p>
    <w:p>
      <w:pPr>
        <w:jc w:val="center"/>
        <w:ind w:right="1400"/>
        <w:spacing w:after="0"/>
        <w:rPr>
          <w:sz w:val="20"/>
          <w:szCs w:val="20"/>
          <w:color w:val="auto"/>
        </w:rPr>
      </w:pPr>
      <w:r>
        <w:rPr>
          <w:rFonts w:ascii="Times New Roman" w:cs="Times New Roman" w:eastAsia="Times New Roman" w:hAnsi="Times New Roman"/>
          <w:sz w:val="18"/>
          <w:szCs w:val="18"/>
          <w:i w:val="1"/>
          <w:iCs w:val="1"/>
          <w:color w:val="auto"/>
        </w:rPr>
        <w:t>(I.R.S. Employer Identification No.)</w:t>
      </w:r>
    </w:p>
    <w:p>
      <w:pPr>
        <w:spacing w:after="0" w:line="135" w:lineRule="exact"/>
        <w:rPr>
          <w:sz w:val="24"/>
          <w:szCs w:val="24"/>
          <w:color w:val="auto"/>
        </w:rPr>
      </w:pPr>
    </w:p>
    <w:p>
      <w:pPr>
        <w:sectPr>
          <w:pgSz w:w="11900" w:h="16838" w:orient="portrait"/>
          <w:cols w:equalWidth="0" w:num="2">
            <w:col w:w="6420" w:space="720"/>
            <w:col w:w="3980"/>
          </w:cols>
          <w:pgMar w:left="320" w:top="1259" w:right="459" w:bottom="1440" w:gutter="0" w:footer="0" w:header="0"/>
          <w:type w:val="continuous"/>
        </w:sect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100 Palmetto Park Place</w:t>
      </w:r>
    </w:p>
    <w:p>
      <w:pPr>
        <w:spacing w:after="0" w:line="3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Ponte Vedra, Florida 32081</w:t>
      </w:r>
    </w:p>
    <w:p>
      <w:pPr>
        <w:spacing w:after="0" w:line="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i w:val="1"/>
          <w:iCs w:val="1"/>
          <w:color w:val="auto"/>
        </w:rPr>
        <w:t>(Address of principal executive offices, including zip code)</w:t>
      </w:r>
    </w:p>
    <w:p>
      <w:pPr>
        <w:spacing w:after="0" w:line="9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(904) 373-5940</w:t>
      </w:r>
    </w:p>
    <w:p>
      <w:pPr>
        <w:spacing w:after="0" w:line="3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i w:val="1"/>
          <w:iCs w:val="1"/>
          <w:color w:val="auto"/>
        </w:rPr>
        <w:t>(Registrant’s telephone number, including area code)</w:t>
      </w:r>
    </w:p>
    <w:p>
      <w:pPr>
        <w:spacing w:after="0" w:line="9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7"/>
          <w:szCs w:val="17"/>
          <w:b w:val="1"/>
          <w:bCs w:val="1"/>
          <w:color w:val="auto"/>
        </w:rPr>
        <w:t>Securities registered pursuant to Section 12(b) of the Act:</w:t>
      </w:r>
    </w:p>
    <w:p>
      <w:pPr>
        <w:sectPr>
          <w:pgSz w:w="11900" w:h="16838" w:orient="portrait"/>
          <w:cols w:equalWidth="0" w:num="1">
            <w:col w:w="11120"/>
          </w:cols>
          <w:pgMar w:left="320" w:top="1259" w:right="459" w:bottom="1440" w:gutter="0" w:footer="0" w:header="0"/>
          <w:type w:val="continuous"/>
        </w:sectPr>
      </w:pPr>
    </w:p>
    <w:p>
      <w:pPr>
        <w:spacing w:after="0" w:line="129" w:lineRule="exact"/>
        <w:rPr>
          <w:sz w:val="24"/>
          <w:szCs w:val="24"/>
          <w:color w:val="auto"/>
        </w:rPr>
      </w:pPr>
    </w:p>
    <w:p>
      <w:pPr>
        <w:jc w:val="center"/>
        <w:ind w:left="20"/>
        <w:spacing w:after="0"/>
        <w:rPr>
          <w:sz w:val="20"/>
          <w:szCs w:val="20"/>
          <w:color w:val="auto"/>
        </w:rPr>
      </w:pPr>
      <w:r>
        <w:rPr>
          <w:rFonts w:ascii="Times New Roman" w:cs="Times New Roman" w:eastAsia="Times New Roman" w:hAnsi="Times New Roman"/>
          <w:sz w:val="18"/>
          <w:szCs w:val="18"/>
          <w:b w:val="1"/>
          <w:bCs w:val="1"/>
          <w:color w:val="auto"/>
        </w:rPr>
        <w:t>Title of each class</w:t>
      </w:r>
    </w:p>
    <w:p>
      <w:pPr>
        <w:spacing w:after="0" w:line="31" w:lineRule="exact"/>
        <w:rPr>
          <w:sz w:val="24"/>
          <w:szCs w:val="24"/>
          <w:color w:val="auto"/>
        </w:rPr>
      </w:pPr>
    </w:p>
    <w:p>
      <w:pPr>
        <w:jc w:val="center"/>
        <w:ind w:left="20"/>
        <w:spacing w:after="0"/>
        <w:rPr>
          <w:sz w:val="20"/>
          <w:szCs w:val="20"/>
          <w:color w:val="auto"/>
        </w:rPr>
      </w:pPr>
      <w:r>
        <w:rPr>
          <w:rFonts w:ascii="Times New Roman" w:cs="Times New Roman" w:eastAsia="Times New Roman" w:hAnsi="Times New Roman"/>
          <w:sz w:val="17"/>
          <w:szCs w:val="17"/>
          <w:color w:val="auto"/>
        </w:rPr>
        <w:t>Common stock, $0.001 par value</w:t>
      </w:r>
    </w:p>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Trading symbol(s)</w:t>
      </w:r>
    </w:p>
    <w:p>
      <w:pPr>
        <w:spacing w:after="0" w:line="31" w:lineRule="exact"/>
        <w:rPr>
          <w:sz w:val="24"/>
          <w:szCs w:val="24"/>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TMCI</w:t>
      </w:r>
    </w:p>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17"/>
          <w:szCs w:val="17"/>
          <w:b w:val="1"/>
          <w:bCs w:val="1"/>
          <w:color w:val="auto"/>
        </w:rPr>
        <w:t>Name of each exchange on which registered</w:t>
      </w:r>
    </w:p>
    <w:p>
      <w:pPr>
        <w:spacing w:after="0" w:line="43"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18"/>
          <w:szCs w:val="18"/>
          <w:color w:val="auto"/>
        </w:rPr>
        <w:t>The Nasdaq Global Select Market</w:t>
      </w:r>
    </w:p>
    <w:p>
      <w:pPr>
        <w:spacing w:after="0" w:line="112" w:lineRule="exact"/>
        <w:rPr>
          <w:sz w:val="24"/>
          <w:szCs w:val="24"/>
          <w:color w:val="auto"/>
        </w:rPr>
      </w:pPr>
    </w:p>
    <w:p>
      <w:pPr>
        <w:sectPr>
          <w:pgSz w:w="11900" w:h="16838" w:orient="portrait"/>
          <w:cols w:equalWidth="0" w:num="3">
            <w:col w:w="4120" w:space="720"/>
            <w:col w:w="1880" w:space="720"/>
            <w:col w:w="3680"/>
          </w:cols>
          <w:pgMar w:left="320" w:top="1259" w:right="459" w:bottom="1440" w:gutter="0" w:footer="0" w:header="0"/>
          <w:type w:val="continuous"/>
        </w:sectPr>
      </w:pPr>
    </w:p>
    <w:p>
      <w:pPr>
        <w:ind w:right="16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w:t>
      </w:r>
      <w:r>
        <w:rPr>
          <w:rFonts w:ascii="Arial" w:cs="Arial" w:eastAsia="Arial" w:hAnsi="Arial"/>
          <w:sz w:val="17"/>
          <w:szCs w:val="17"/>
          <w:color w:val="auto"/>
        </w:rPr>
        <w:t>(</w:t>
      </w:r>
      <w:r>
        <w:rPr>
          <w:rFonts w:ascii="Times New Roman" w:cs="Times New Roman" w:eastAsia="Times New Roman" w:hAnsi="Times New Roman"/>
          <w:sz w:val="18"/>
          <w:szCs w:val="18"/>
          <w:color w:val="auto"/>
        </w:rPr>
        <w:t xml:space="preserve">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44" w:lineRule="exact"/>
        <w:rPr>
          <w:sz w:val="24"/>
          <w:szCs w:val="24"/>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7" w:lineRule="exact"/>
        <w:rPr>
          <w:sz w:val="24"/>
          <w:szCs w:val="24"/>
          <w:color w:val="auto"/>
        </w:rPr>
      </w:pPr>
    </w:p>
    <w:tbl>
      <w:tblPr>
        <w:tblLayout w:type="fixed"/>
        <w:tblInd w:w="1920" w:type="dxa"/>
        <w:tblCellMar>
          <w:top w:w="0" w:type="dxa"/>
          <w:left w:w="0" w:type="dxa"/>
          <w:bottom w:w="0" w:type="dxa"/>
          <w:right w:w="0" w:type="dxa"/>
        </w:tblCellMar>
      </w:tblPr>
      <w:tr>
        <w:trPr>
          <w:trHeight w:val="221"/>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140" w:type="dxa"/>
            <w:vAlign w:val="bottom"/>
          </w:tcPr>
          <w:p>
            <w:pPr>
              <w:ind w:left="620"/>
              <w:spacing w:after="0" w:line="181" w:lineRule="exact"/>
              <w:rPr>
                <w:sz w:val="20"/>
                <w:szCs w:val="20"/>
                <w:color w:val="auto"/>
              </w:rPr>
            </w:pPr>
            <w:r>
              <w:rPr>
                <w:rFonts w:ascii="MS PGothic" w:cs="MS PGothic" w:eastAsia="MS PGothic" w:hAnsi="MS PGothic"/>
                <w:sz w:val="18"/>
                <w:szCs w:val="18"/>
                <w:color w:val="auto"/>
              </w:rPr>
              <w:t>☐</w:t>
            </w:r>
          </w:p>
        </w:tc>
        <w:tc>
          <w:tcPr>
            <w:tcW w:w="2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Accelerated filer</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140" w:type="dxa"/>
            <w:vAlign w:val="bottom"/>
          </w:tcPr>
          <w:p>
            <w:pPr>
              <w:ind w:left="620"/>
              <w:spacing w:after="0" w:line="181" w:lineRule="exact"/>
              <w:rPr>
                <w:sz w:val="20"/>
                <w:szCs w:val="20"/>
                <w:color w:val="auto"/>
              </w:rPr>
            </w:pPr>
            <w:r>
              <w:rPr>
                <w:rFonts w:ascii="MS PGothic" w:cs="MS PGothic" w:eastAsia="MS PGothic" w:hAnsi="MS PGothic"/>
                <w:sz w:val="18"/>
                <w:szCs w:val="18"/>
                <w:color w:val="auto"/>
              </w:rPr>
              <w:t>☐</w:t>
            </w:r>
          </w:p>
        </w:tc>
        <w:tc>
          <w:tcPr>
            <w:tcW w:w="2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Emerging growth company</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57" w:lineRule="exact"/>
        <w:rPr>
          <w:sz w:val="24"/>
          <w:szCs w:val="24"/>
          <w:color w:val="auto"/>
        </w:rPr>
      </w:pPr>
    </w:p>
    <w:p>
      <w:pPr>
        <w:ind w:right="2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89" w:lineRule="exact"/>
        <w:rPr>
          <w:sz w:val="24"/>
          <w:szCs w:val="24"/>
          <w:color w:val="auto"/>
        </w:rPr>
      </w:pPr>
    </w:p>
    <w:p>
      <w:pPr>
        <w:ind w:right="1940"/>
        <w:spacing w:after="0" w:line="333"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As of April 30, 2026, 64,872,976 shares of the registrant’s common stock, $0.001 par value per share,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776605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154940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1259" w:right="45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1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900" w:type="dxa"/>
            <w:vAlign w:val="bottom"/>
            <w:gridSpan w:val="7"/>
          </w:tcPr>
          <w:p>
            <w:pPr>
              <w:ind w:left="120"/>
              <w:spacing w:after="0"/>
              <w:rPr>
                <w:sz w:val="20"/>
                <w:szCs w:val="20"/>
                <w:color w:val="auto"/>
              </w:rPr>
            </w:pPr>
            <w:r>
              <w:rPr>
                <w:rFonts w:ascii="Times New Roman" w:cs="Times New Roman" w:eastAsia="Times New Roman" w:hAnsi="Times New Roman"/>
                <w:sz w:val="18"/>
                <w:szCs w:val="18"/>
                <w:b w:val="1"/>
                <w:bCs w:val="1"/>
                <w:color w:val="auto"/>
              </w:rPr>
              <w:t>TREACE MEDICAL CONCEPTS, INC.</w:t>
            </w:r>
          </w:p>
        </w:tc>
        <w:tc>
          <w:tcPr>
            <w:tcW w:w="1440" w:type="dxa"/>
            <w:vAlign w:val="bottom"/>
          </w:tcPr>
          <w:p>
            <w:pPr>
              <w:spacing w:after="0"/>
              <w:rPr>
                <w:sz w:val="20"/>
                <w:szCs w:val="20"/>
                <w:color w:val="auto"/>
              </w:rPr>
            </w:pPr>
          </w:p>
        </w:tc>
      </w:tr>
      <w:tr>
        <w:trPr>
          <w:trHeight w:val="432"/>
        </w:trPr>
        <w:tc>
          <w:tcPr>
            <w:tcW w:w="1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320" w:type="dxa"/>
            <w:vAlign w:val="bottom"/>
            <w:gridSpan w:val="13"/>
          </w:tcPr>
          <w:p>
            <w:pPr>
              <w:jc w:val="center"/>
              <w:ind w:right="1020"/>
              <w:spacing w:after="0"/>
              <w:rPr>
                <w:sz w:val="20"/>
                <w:szCs w:val="20"/>
                <w:color w:val="auto"/>
              </w:rPr>
            </w:pPr>
            <w:r>
              <w:rPr>
                <w:rFonts w:ascii="Times New Roman" w:cs="Times New Roman" w:eastAsia="Times New Roman" w:hAnsi="Times New Roman"/>
                <w:sz w:val="18"/>
                <w:szCs w:val="18"/>
                <w:b w:val="1"/>
                <w:bCs w:val="1"/>
                <w:color w:val="auto"/>
                <w:w w:val="99"/>
              </w:rPr>
              <w:t>FORM 10-Q FOR THE QUARTERLY PERIOD ENDED MARCH 31, 2026</w:t>
            </w:r>
          </w:p>
        </w:tc>
        <w:tc>
          <w:tcPr>
            <w:tcW w:w="1440" w:type="dxa"/>
            <w:vAlign w:val="bottom"/>
          </w:tcPr>
          <w:p>
            <w:pPr>
              <w:spacing w:after="0"/>
              <w:rPr>
                <w:sz w:val="24"/>
                <w:szCs w:val="24"/>
                <w:color w:val="auto"/>
              </w:rPr>
            </w:pPr>
          </w:p>
        </w:tc>
      </w:tr>
      <w:tr>
        <w:trPr>
          <w:trHeight w:val="432"/>
        </w:trPr>
        <w:tc>
          <w:tcPr>
            <w:tcW w:w="1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80" w:type="dxa"/>
            <w:vAlign w:val="bottom"/>
            <w:gridSpan w:val="5"/>
          </w:tcPr>
          <w:p>
            <w:pPr>
              <w:jc w:val="center"/>
              <w:ind w:right="308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1440" w:type="dxa"/>
            <w:vAlign w:val="bottom"/>
          </w:tcPr>
          <w:p>
            <w:pPr>
              <w:spacing w:after="0"/>
              <w:rPr>
                <w:sz w:val="24"/>
                <w:szCs w:val="24"/>
                <w:color w:val="auto"/>
              </w:rPr>
            </w:pPr>
          </w:p>
        </w:tc>
      </w:tr>
      <w:tr>
        <w:trPr>
          <w:trHeight w:val="392"/>
        </w:trPr>
        <w:tc>
          <w:tcPr>
            <w:tcW w:w="98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Special Note Regarding Forward-Looking Statements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434"/>
        </w:trPr>
        <w:tc>
          <w:tcPr>
            <w:tcW w:w="1140" w:type="dxa"/>
            <w:vAlign w:val="bottom"/>
            <w:tcBorders>
              <w:top w:val="single" w:sz="8" w:color="0000FF"/>
            </w:tcBorders>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60" w:type="dxa"/>
            <w:vAlign w:val="bottom"/>
          </w:tcPr>
          <w:p>
            <w:pPr>
              <w:spacing w:after="0"/>
              <w:rPr>
                <w:sz w:val="24"/>
                <w:szCs w:val="24"/>
                <w:color w:val="auto"/>
              </w:rPr>
            </w:pPr>
          </w:p>
        </w:tc>
        <w:tc>
          <w:tcPr>
            <w:tcW w:w="5640" w:type="dxa"/>
            <w:vAlign w:val="bottom"/>
            <w:gridSpan w:val="6"/>
          </w:tcPr>
          <w:p>
            <w:pPr>
              <w:jc w:val="center"/>
              <w:ind w:right="2700"/>
              <w:spacing w:after="0"/>
              <w:rPr>
                <w:sz w:val="20"/>
                <w:szCs w:val="20"/>
                <w:color w:val="auto"/>
              </w:rPr>
            </w:pPr>
            <w:r>
              <w:rPr>
                <w:rFonts w:ascii="Times New Roman" w:cs="Times New Roman" w:eastAsia="Times New Roman" w:hAnsi="Times New Roman"/>
                <w:sz w:val="18"/>
                <w:szCs w:val="18"/>
                <w:b w:val="1"/>
                <w:bCs w:val="1"/>
                <w:color w:val="auto"/>
                <w:w w:val="99"/>
              </w:rPr>
              <w:t>Part I: Financial Information</w:t>
            </w:r>
          </w:p>
        </w:tc>
        <w:tc>
          <w:tcPr>
            <w:tcW w:w="1440" w:type="dxa"/>
            <w:vAlign w:val="bottom"/>
          </w:tcPr>
          <w:p>
            <w:pPr>
              <w:spacing w:after="0"/>
              <w:rPr>
                <w:sz w:val="24"/>
                <w:szCs w:val="24"/>
                <w:color w:val="auto"/>
              </w:rPr>
            </w:pPr>
          </w:p>
        </w:tc>
      </w:tr>
      <w:tr>
        <w:trPr>
          <w:trHeight w:val="194"/>
        </w:trPr>
        <w:tc>
          <w:tcPr>
            <w:tcW w:w="11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Item 1.</w:t>
            </w:r>
          </w:p>
        </w:tc>
        <w:tc>
          <w:tcPr>
            <w:tcW w:w="2360" w:type="dxa"/>
            <w:vAlign w:val="bottom"/>
            <w:tcBorders>
              <w:bottom w:val="single" w:sz="8" w:color="0000FF"/>
            </w:tcBorders>
            <w:gridSpan w:val="9"/>
          </w:tcPr>
          <w:p>
            <w:pPr>
              <w:spacing w:after="0" w:line="194" w:lineRule="exact"/>
              <w:rPr>
                <w:sz w:val="20"/>
                <w:szCs w:val="20"/>
                <w:color w:val="auto"/>
              </w:rPr>
            </w:pPr>
            <w:r>
              <w:rPr>
                <w:rFonts w:ascii="Times New Roman" w:cs="Times New Roman" w:eastAsia="Times New Roman" w:hAnsi="Times New Roman"/>
                <w:sz w:val="18"/>
                <w:szCs w:val="18"/>
                <w:color w:val="0000FF"/>
                <w:w w:val="99"/>
              </w:rPr>
              <w:t>Condensed Financial Statements</w:t>
            </w:r>
          </w:p>
        </w:tc>
        <w:tc>
          <w:tcPr>
            <w:tcW w:w="6300" w:type="dxa"/>
            <w:vAlign w:val="bottom"/>
            <w:gridSpan w:val="9"/>
          </w:tcPr>
          <w:p>
            <w:pPr>
              <w:spacing w:after="0"/>
              <w:rPr>
                <w:sz w:val="16"/>
                <w:szCs w:val="16"/>
                <w:color w:val="auto"/>
              </w:rPr>
            </w:pPr>
          </w:p>
        </w:tc>
        <w:tc>
          <w:tcPr>
            <w:tcW w:w="144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4</w:t>
            </w:r>
          </w:p>
        </w:tc>
      </w:tr>
      <w:tr>
        <w:trPr>
          <w:trHeight w:val="196"/>
        </w:trPr>
        <w:tc>
          <w:tcPr>
            <w:tcW w:w="1140" w:type="dxa"/>
            <w:vAlign w:val="bottom"/>
          </w:tcPr>
          <w:p>
            <w:pPr>
              <w:spacing w:after="0"/>
              <w:rPr>
                <w:sz w:val="17"/>
                <w:szCs w:val="17"/>
                <w:color w:val="auto"/>
              </w:rPr>
            </w:pPr>
          </w:p>
        </w:tc>
        <w:tc>
          <w:tcPr>
            <w:tcW w:w="866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Condensed Balance Sheets</w:t>
            </w:r>
          </w:p>
        </w:tc>
        <w:tc>
          <w:tcPr>
            <w:tcW w:w="1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20"/>
        </w:trPr>
        <w:tc>
          <w:tcPr>
            <w:tcW w:w="1140" w:type="dxa"/>
            <w:vAlign w:val="bottom"/>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866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Condensed Statements of Operations and Comprehensive Loss</w:t>
            </w:r>
          </w:p>
        </w:tc>
        <w:tc>
          <w:tcPr>
            <w:tcW w:w="1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196"/>
        </w:trPr>
        <w:tc>
          <w:tcPr>
            <w:tcW w:w="1140" w:type="dxa"/>
            <w:vAlign w:val="bottom"/>
          </w:tcPr>
          <w:p>
            <w:pPr>
              <w:spacing w:after="0"/>
              <w:rPr>
                <w:sz w:val="17"/>
                <w:szCs w:val="17"/>
                <w:color w:val="auto"/>
              </w:rPr>
            </w:pPr>
          </w:p>
        </w:tc>
        <w:tc>
          <w:tcPr>
            <w:tcW w:w="3380" w:type="dxa"/>
            <w:vAlign w:val="bottom"/>
            <w:tcBorders>
              <w:top w:val="single" w:sz="8" w:color="0000FF"/>
              <w:bottom w:val="single" w:sz="8" w:color="0000FF"/>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FF"/>
                <w:w w:val="99"/>
              </w:rPr>
              <w:t>Condensed Statements of Stockholders' Equity</w:t>
            </w:r>
          </w:p>
        </w:tc>
        <w:tc>
          <w:tcPr>
            <w:tcW w:w="1140" w:type="dxa"/>
            <w:vAlign w:val="bottom"/>
            <w:tcBorders>
              <w:top w:val="single" w:sz="8" w:color="0000FF"/>
            </w:tcBorders>
            <w:gridSpan w:val="3"/>
          </w:tcPr>
          <w:p>
            <w:pPr>
              <w:spacing w:after="0"/>
              <w:rPr>
                <w:sz w:val="17"/>
                <w:szCs w:val="17"/>
                <w:color w:val="auto"/>
              </w:rPr>
            </w:pPr>
          </w:p>
        </w:tc>
        <w:tc>
          <w:tcPr>
            <w:tcW w:w="4140" w:type="dxa"/>
            <w:vAlign w:val="bottom"/>
            <w:gridSpan w:val="2"/>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196"/>
        </w:trPr>
        <w:tc>
          <w:tcPr>
            <w:tcW w:w="1140" w:type="dxa"/>
            <w:vAlign w:val="bottom"/>
          </w:tcPr>
          <w:p>
            <w:pPr>
              <w:spacing w:after="0"/>
              <w:rPr>
                <w:sz w:val="17"/>
                <w:szCs w:val="17"/>
                <w:color w:val="auto"/>
              </w:rPr>
            </w:pPr>
          </w:p>
        </w:tc>
        <w:tc>
          <w:tcPr>
            <w:tcW w:w="866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Condensed Statements of Cash Flows</w:t>
            </w:r>
          </w:p>
        </w:tc>
        <w:tc>
          <w:tcPr>
            <w:tcW w:w="1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20"/>
        </w:trPr>
        <w:tc>
          <w:tcPr>
            <w:tcW w:w="1140" w:type="dxa"/>
            <w:vAlign w:val="bottom"/>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420" w:type="dxa"/>
            <w:vAlign w:val="bottom"/>
            <w:tcBorders>
              <w:right w:val="single" w:sz="8" w:color="0000EE"/>
            </w:tcBorders>
            <w:gridSpan w:val="2"/>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866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Notes to Condensed Financial Statements</w:t>
            </w:r>
          </w:p>
        </w:tc>
        <w:tc>
          <w:tcPr>
            <w:tcW w:w="1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r>
      <w:tr>
        <w:trPr>
          <w:trHeight w:val="20"/>
        </w:trPr>
        <w:tc>
          <w:tcPr>
            <w:tcW w:w="1140" w:type="dxa"/>
            <w:vAlign w:val="bottom"/>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700" w:type="dxa"/>
            <w:vAlign w:val="bottom"/>
            <w:tcBorders>
              <w:right w:val="single" w:sz="8" w:color="0000EE"/>
            </w:tcBorders>
            <w:gridSpan w:val="4"/>
            <w:shd w:val="clear" w:color="auto" w:fill="0000FF"/>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866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w:t>
            </w: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top w:val="single" w:sz="8" w:color="0000FF"/>
              <w:bottom w:val="single" w:sz="8" w:color="0000FF"/>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080" w:type="dxa"/>
            <w:vAlign w:val="bottom"/>
            <w:tcBorders>
              <w:top w:val="single" w:sz="8" w:color="0000FF"/>
            </w:tcBorders>
            <w:gridSpan w:val="2"/>
          </w:tcPr>
          <w:p>
            <w:pPr>
              <w:spacing w:after="0"/>
              <w:rPr>
                <w:sz w:val="17"/>
                <w:szCs w:val="17"/>
                <w:color w:val="auto"/>
              </w:rPr>
            </w:pPr>
          </w:p>
        </w:tc>
        <w:tc>
          <w:tcPr>
            <w:tcW w:w="2220" w:type="dxa"/>
            <w:vAlign w:val="bottom"/>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866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Controls and Procedures</w:t>
            </w:r>
          </w:p>
        </w:tc>
        <w:tc>
          <w:tcPr>
            <w:tcW w:w="1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r>
      <w:tr>
        <w:trPr>
          <w:trHeight w:val="434"/>
        </w:trPr>
        <w:tc>
          <w:tcPr>
            <w:tcW w:w="1140" w:type="dxa"/>
            <w:vAlign w:val="bottom"/>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80" w:type="dxa"/>
            <w:vAlign w:val="bottom"/>
            <w:gridSpan w:val="5"/>
          </w:tcPr>
          <w:p>
            <w:pPr>
              <w:jc w:val="center"/>
              <w:ind w:right="3060"/>
              <w:spacing w:after="0"/>
              <w:rPr>
                <w:sz w:val="20"/>
                <w:szCs w:val="20"/>
                <w:color w:val="auto"/>
              </w:rPr>
            </w:pPr>
            <w:r>
              <w:rPr>
                <w:rFonts w:ascii="Times New Roman" w:cs="Times New Roman" w:eastAsia="Times New Roman" w:hAnsi="Times New Roman"/>
                <w:sz w:val="18"/>
                <w:szCs w:val="18"/>
                <w:b w:val="1"/>
                <w:bCs w:val="1"/>
                <w:color w:val="auto"/>
                <w:w w:val="99"/>
              </w:rPr>
              <w:t>Part II: Other Information</w:t>
            </w:r>
          </w:p>
        </w:tc>
        <w:tc>
          <w:tcPr>
            <w:tcW w:w="1440" w:type="dxa"/>
            <w:vAlign w:val="bottom"/>
          </w:tcPr>
          <w:p>
            <w:pPr>
              <w:spacing w:after="0"/>
              <w:rPr>
                <w:sz w:val="24"/>
                <w:szCs w:val="24"/>
                <w:color w:val="auto"/>
              </w:rPr>
            </w:pPr>
          </w:p>
        </w:tc>
      </w:tr>
      <w:tr>
        <w:trPr>
          <w:trHeight w:val="194"/>
        </w:trPr>
        <w:tc>
          <w:tcPr>
            <w:tcW w:w="11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bottom w:val="single" w:sz="8" w:color="0000FF"/>
            </w:tcBorders>
            <w:gridSpan w:val="5"/>
          </w:tcPr>
          <w:p>
            <w:pPr>
              <w:spacing w:after="0" w:line="194" w:lineRule="exact"/>
              <w:rPr>
                <w:sz w:val="20"/>
                <w:szCs w:val="20"/>
                <w:color w:val="auto"/>
              </w:rPr>
            </w:pPr>
            <w:r>
              <w:rPr>
                <w:rFonts w:ascii="Times New Roman" w:cs="Times New Roman" w:eastAsia="Times New Roman" w:hAnsi="Times New Roman"/>
                <w:sz w:val="18"/>
                <w:szCs w:val="18"/>
                <w:color w:val="0000FF"/>
                <w:w w:val="98"/>
              </w:rPr>
              <w:t>Legal Proceedings</w:t>
            </w:r>
          </w:p>
        </w:tc>
        <w:tc>
          <w:tcPr>
            <w:tcW w:w="7320" w:type="dxa"/>
            <w:vAlign w:val="bottom"/>
            <w:gridSpan w:val="13"/>
          </w:tcPr>
          <w:p>
            <w:pPr>
              <w:spacing w:after="0"/>
              <w:rPr>
                <w:sz w:val="16"/>
                <w:szCs w:val="16"/>
                <w:color w:val="auto"/>
              </w:rPr>
            </w:pPr>
          </w:p>
        </w:tc>
        <w:tc>
          <w:tcPr>
            <w:tcW w:w="144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27</w:t>
            </w: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866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Risk Factors</w:t>
            </w:r>
          </w:p>
        </w:tc>
        <w:tc>
          <w:tcPr>
            <w:tcW w:w="1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r>
      <w:tr>
        <w:trPr>
          <w:trHeight w:val="20"/>
        </w:trPr>
        <w:tc>
          <w:tcPr>
            <w:tcW w:w="1140" w:type="dxa"/>
            <w:vAlign w:val="bottom"/>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tcBorders>
              <w:right w:val="single" w:sz="8" w:color="0000EE"/>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4320" w:type="dxa"/>
            <w:vAlign w:val="bottom"/>
            <w:gridSpan w:val="4"/>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866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1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4340" w:type="dxa"/>
            <w:vAlign w:val="bottom"/>
            <w:tcBorders>
              <w:top w:val="single" w:sz="8" w:color="0000FF"/>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4320" w:type="dxa"/>
            <w:vAlign w:val="bottom"/>
            <w:gridSpan w:val="4"/>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top w:val="single" w:sz="8" w:color="0000FF"/>
              <w:bottom w:val="single" w:sz="8" w:color="0000FF"/>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w w:val="99"/>
              </w:rPr>
              <w:t>Mine Safety Disclosures</w:t>
            </w:r>
          </w:p>
        </w:tc>
        <w:tc>
          <w:tcPr>
            <w:tcW w:w="540" w:type="dxa"/>
            <w:vAlign w:val="bottom"/>
            <w:tcBorders>
              <w:top w:val="single" w:sz="8" w:color="0000FF"/>
            </w:tcBorders>
            <w:gridSpan w:val="2"/>
          </w:tcPr>
          <w:p>
            <w:pPr>
              <w:spacing w:after="0"/>
              <w:rPr>
                <w:sz w:val="17"/>
                <w:szCs w:val="17"/>
                <w:color w:val="auto"/>
              </w:rPr>
            </w:pPr>
          </w:p>
        </w:tc>
        <w:tc>
          <w:tcPr>
            <w:tcW w:w="6340" w:type="dxa"/>
            <w:vAlign w:val="bottom"/>
            <w:gridSpan w:val="10"/>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1320" w:type="dxa"/>
            <w:vAlign w:val="bottom"/>
            <w:tcBorders>
              <w:bottom w:val="single" w:sz="8" w:color="0000FF"/>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w w:val="98"/>
              </w:rPr>
              <w:t>Other Information</w:t>
            </w:r>
          </w:p>
        </w:tc>
        <w:tc>
          <w:tcPr>
            <w:tcW w:w="7340" w:type="dxa"/>
            <w:vAlign w:val="bottom"/>
            <w:gridSpan w:val="14"/>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866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Exhibits</w:t>
            </w:r>
          </w:p>
        </w:tc>
        <w:tc>
          <w:tcPr>
            <w:tcW w:w="1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r>
      <w:tr>
        <w:trPr>
          <w:trHeight w:val="20"/>
        </w:trPr>
        <w:tc>
          <w:tcPr>
            <w:tcW w:w="1140" w:type="dxa"/>
            <w:vAlign w:val="bottom"/>
          </w:tcPr>
          <w:p>
            <w:pPr>
              <w:spacing w:after="0" w:line="20" w:lineRule="exact"/>
              <w:rPr>
                <w:sz w:val="1"/>
                <w:szCs w:val="1"/>
                <w:color w:val="auto"/>
              </w:rPr>
            </w:pPr>
          </w:p>
        </w:tc>
        <w:tc>
          <w:tcPr>
            <w:tcW w:w="620" w:type="dxa"/>
            <w:vAlign w:val="bottom"/>
            <w:tcBorders>
              <w:right w:val="single" w:sz="8" w:color="0000EE"/>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900" w:type="dxa"/>
            <w:vAlign w:val="bottom"/>
            <w:gridSpan w:val="16"/>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866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Signatures</w:t>
            </w:r>
          </w:p>
        </w:tc>
        <w:tc>
          <w:tcPr>
            <w:tcW w:w="1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30</w:t>
            </w:r>
          </w:p>
        </w:tc>
      </w:tr>
      <w:tr>
        <w:trPr>
          <w:trHeight w:val="1215"/>
        </w:trPr>
        <w:tc>
          <w:tcPr>
            <w:tcW w:w="1140" w:type="dxa"/>
            <w:vAlign w:val="bottom"/>
            <w:tcBorders>
              <w:bottom w:val="single" w:sz="8" w:color="9A9A9A"/>
            </w:tcBorders>
          </w:tcPr>
          <w:p>
            <w:pPr>
              <w:spacing w:after="0"/>
              <w:rPr>
                <w:sz w:val="24"/>
                <w:szCs w:val="24"/>
                <w:color w:val="auto"/>
              </w:rPr>
            </w:pPr>
          </w:p>
        </w:tc>
        <w:tc>
          <w:tcPr>
            <w:tcW w:w="620" w:type="dxa"/>
            <w:vAlign w:val="bottom"/>
            <w:tcBorders>
              <w:top w:val="single" w:sz="8" w:color="0000FF"/>
              <w:bottom w:val="single" w:sz="8" w:color="9A9A9A"/>
            </w:tcBorders>
          </w:tcPr>
          <w:p>
            <w:pPr>
              <w:spacing w:after="0"/>
              <w:rPr>
                <w:sz w:val="24"/>
                <w:szCs w:val="24"/>
                <w:color w:val="auto"/>
              </w:rPr>
            </w:pPr>
          </w:p>
        </w:tc>
        <w:tc>
          <w:tcPr>
            <w:tcW w:w="140" w:type="dxa"/>
            <w:vAlign w:val="bottom"/>
            <w:tcBorders>
              <w:top w:val="single" w:sz="8" w:color="0000FF"/>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920" w:type="dxa"/>
            <w:vAlign w:val="bottom"/>
            <w:tcBorders>
              <w:bottom w:val="single" w:sz="8" w:color="9A9A9A"/>
            </w:tcBorders>
          </w:tcPr>
          <w:p>
            <w:pPr>
              <w:spacing w:after="0"/>
              <w:rPr>
                <w:sz w:val="24"/>
                <w:szCs w:val="24"/>
                <w:color w:val="auto"/>
              </w:rPr>
            </w:pPr>
          </w:p>
        </w:tc>
        <w:tc>
          <w:tcPr>
            <w:tcW w:w="222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As used in this Quarterly Report on Form 10-Q ("Quarterly Report"), unless expressly indicated or the context otherwise requires, references to "Treace Medical Concepts," "we," "us," "our," or the "Company," refer to Treace Medical Concepts, Inc. This Quarterly Report contains forward-looking statements within the meaning of the Private Securities Litigation Reform Act of 1995, as codified in Section 27A of the Securities Act of 1933, as amended (the "Securities Act"), and Section 21E of the Securities Exchange Act of 1934, as amended (the "Exchange Act") concerning our business, operations and financial performance and condition, as well as our plans, objectives and expectations for our business, operations and financial performance and condition. Any statements contained herein that are not statements of historical facts may be deemed to be forward-looking statements. In some cases, you can identify forward-looking statements by terminology such as "anticipate," "assume," "believe," "contemplate," "continue," "could," "due," "estimate," "expect," "goal," "intend," "may," "objective," "plan," "predict," "potential," "positioned," "seek," "should," "slated," "target," "will," "would" and other similar expressions that are predictions of or indicate future events and future trends, or the negative of these terms or other comparable terminology.</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forward-looking statements include, but are not limited to, statements about:</w:t>
      </w:r>
    </w:p>
    <w:p>
      <w:pPr>
        <w:spacing w:after="0" w:line="117" w:lineRule="exact"/>
        <w:rPr>
          <w:sz w:val="20"/>
          <w:szCs w:val="20"/>
          <w:color w:val="auto"/>
        </w:rPr>
      </w:pPr>
    </w:p>
    <w:p>
      <w:pPr>
        <w:ind w:left="1020" w:right="26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use of our products by physicians, including our ability to expand the number of active surgeons and maintain or increase the use of our products by existing and new surgeon customers;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growth of our business and our organization and expected improvements in profitability, cash usage and other financial results;</w:t>
      </w:r>
    </w:p>
    <w:p>
      <w:pPr>
        <w:spacing w:after="0" w:line="117" w:lineRule="exact"/>
        <w:rPr>
          <w:rFonts w:ascii="Times New Roman" w:cs="Times New Roman" w:eastAsia="Times New Roman" w:hAnsi="Times New Roman"/>
          <w:sz w:val="18"/>
          <w:szCs w:val="18"/>
          <w:color w:val="auto"/>
        </w:rPr>
      </w:pPr>
    </w:p>
    <w:p>
      <w:pPr>
        <w:ind w:left="1020" w:hanging="503"/>
        <w:spacing w:after="0" w:line="261"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increase case volumes and market share and effectively respond to and mitigate the impact of challenges in the current market environment, including evolving surgeon and patient preferences for bunion surgery treatments, the extensive competition in our industry and new product introductions from other industry participants, including in both the Lapidus market and the minimally invasive osteotomy market, and shifts in the setting of care for elective bunion surgeries from hospitals to ambulatory surgery centers;</w:t>
      </w:r>
    </w:p>
    <w:p>
      <w:pPr>
        <w:spacing w:after="0" w:line="7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control and reduce expenses to help offset changes in revenue growth rates, product mix, and other events;</w:t>
      </w:r>
    </w:p>
    <w:p>
      <w:pPr>
        <w:spacing w:after="0" w:line="117" w:lineRule="exact"/>
        <w:rPr>
          <w:rFonts w:ascii="Times New Roman" w:cs="Times New Roman" w:eastAsia="Times New Roman" w:hAnsi="Times New Roman"/>
          <w:sz w:val="18"/>
          <w:szCs w:val="18"/>
          <w:color w:val="auto"/>
        </w:rPr>
      </w:pPr>
    </w:p>
    <w:p>
      <w:pPr>
        <w:ind w:left="1020" w:right="240" w:hanging="503"/>
        <w:spacing w:after="0" w:line="26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and expected timeline related to our products, or developing, commercially releasing or acquiring new or improved products, to address additional indications or otherwise, and the timing and extent that customers adopt and continue to use our products, including our flagship Lapiplasty® system which has higher average selling prices than our new osteotomy and great toe fusion systems;</w:t>
      </w:r>
    </w:p>
    <w:p>
      <w:pPr>
        <w:spacing w:after="0" w:line="67" w:lineRule="exact"/>
        <w:rPr>
          <w:rFonts w:ascii="Times New Roman" w:cs="Times New Roman" w:eastAsia="Times New Roman" w:hAnsi="Times New Roman"/>
          <w:sz w:val="18"/>
          <w:szCs w:val="18"/>
          <w:color w:val="auto"/>
        </w:rPr>
      </w:pPr>
    </w:p>
    <w:p>
      <w:pPr>
        <w:ind w:left="1020" w:right="46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sufficient balance sheet strength to continue executing on our strategic investments and growth initiatives for the foreseeable future;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seasonality;</w:t>
      </w:r>
    </w:p>
    <w:p>
      <w:pPr>
        <w:spacing w:after="0" w:line="117" w:lineRule="exact"/>
        <w:rPr>
          <w:rFonts w:ascii="Times New Roman" w:cs="Times New Roman" w:eastAsia="Times New Roman" w:hAnsi="Times New Roman"/>
          <w:sz w:val="18"/>
          <w:szCs w:val="18"/>
          <w:color w:val="auto"/>
        </w:rPr>
      </w:pPr>
    </w:p>
    <w:p>
      <w:pPr>
        <w:jc w:val="both"/>
        <w:ind w:left="1020" w:right="240" w:hanging="503"/>
        <w:spacing w:after="0" w:line="261"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softening consumer sentiment, higher insurance deductibles and costs, higher fuel prices, inflationary pressures, interest rate changes, business downturns, evolving or increased tariffs, armed conflicts, changes in trade policy or global trade disruptions, protracted government shutdowns, and general economic conditions on the overall state of the economy, on patient behavior and demand for elective surgeries, on customers' and suppliers' operations, and on our business and results of operations;</w:t>
      </w:r>
    </w:p>
    <w:p>
      <w:pPr>
        <w:spacing w:after="0" w:line="71" w:lineRule="exact"/>
        <w:rPr>
          <w:rFonts w:ascii="Times New Roman" w:cs="Times New Roman" w:eastAsia="Times New Roman" w:hAnsi="Times New Roman"/>
          <w:sz w:val="18"/>
          <w:szCs w:val="18"/>
          <w:color w:val="auto"/>
        </w:rPr>
      </w:pPr>
    </w:p>
    <w:p>
      <w:pPr>
        <w:ind w:left="1020" w:right="2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ability to leverage investments and manage expenses in our commercial organization to support demand for our products and improve profitability;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government and third-party payor coverage and reimbursement;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economic success and viability of the hospitals, ambulatory surgery centers, surgeons, and stocking distributors that buy our products;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sales to stocking distributors and other customers on product revenues in future periods, particularly if softening demand means that products already purchased by customers are used more slowly for future cases;</w:t>
      </w:r>
    </w:p>
    <w:p>
      <w:pPr>
        <w:spacing w:after="0" w:line="53"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of our expenses, ongoing losses, future revenue, and capital requirements, our ability to comply with covenants under our new 5-year credit facilities, and our need for, or ability to obtain, additional financing or refinancing of outstanding debt at or before maturity;</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 w:name="page4"/>
    <w:bookmarkEnd w:id="3"/>
    <w:p>
      <w:pPr>
        <w:ind w:left="1020" w:right="16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expected uses of our existing cash, cash equivalents and marketable securities and the sufficiency of such resources to fund our planned operations;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and recruit key personnel and optimize our existing sales and marketing infrastructure;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 adequate supply of materials and components for our products, some of which are single-source suppliers;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intellectual property protection for our products;</w:t>
      </w:r>
    </w:p>
    <w:p>
      <w:pPr>
        <w:spacing w:after="0" w:line="117" w:lineRule="exact"/>
        <w:rPr>
          <w:rFonts w:ascii="Times New Roman" w:cs="Times New Roman" w:eastAsia="Times New Roman" w:hAnsi="Times New Roman"/>
          <w:sz w:val="18"/>
          <w:szCs w:val="18"/>
          <w:color w:val="auto"/>
        </w:rPr>
      </w:pPr>
    </w:p>
    <w:p>
      <w:pPr>
        <w:ind w:left="1020" w:right="64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and enforce our intellectual property, and the time and expense involved in monitoring unauthorized uses of our intellectual property, including in connection with the lawsuits we initiated in October 2024 and May 2025;</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defend against infringement of our intellectual property by third parties, including our competitors;</w:t>
      </w:r>
    </w:p>
    <w:p>
      <w:pPr>
        <w:spacing w:after="0" w:line="117" w:lineRule="exact"/>
        <w:rPr>
          <w:rFonts w:ascii="Times New Roman" w:cs="Times New Roman" w:eastAsia="Times New Roman" w:hAnsi="Times New Roman"/>
          <w:sz w:val="18"/>
          <w:szCs w:val="18"/>
          <w:color w:val="auto"/>
        </w:rPr>
      </w:pPr>
    </w:p>
    <w:p>
      <w:pPr>
        <w:jc w:val="both"/>
        <w:ind w:left="1020" w:right="440" w:hanging="503"/>
        <w:spacing w:after="0" w:line="266"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on our operations, business, supply chain, patient demand for elective surgeries, case cancellations, and hospital and surgeon availability as a result of natural or other disasters, including hurricanes, floods, tornadoes and other climate-related events, power loss, strikes or other events beyond our control;</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anticipated pace of growth in the foot and ankle market;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maintain and expand regulatory clearances for our products and any new products we develop or acquire;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expand our business in current and new geographic markets;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compliance with Nasdaq requirements and government laws, rules and regulations;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geopolitical tensions and international conflicts on the economy and our business;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 bankruptcy filing by any of our customers;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expand clinical data supporting our products and conduct further clinical studies;</w:t>
      </w:r>
    </w:p>
    <w:p>
      <w:pPr>
        <w:spacing w:after="0" w:line="117" w:lineRule="exact"/>
        <w:rPr>
          <w:rFonts w:ascii="Times New Roman" w:cs="Times New Roman" w:eastAsia="Times New Roman" w:hAnsi="Times New Roman"/>
          <w:sz w:val="18"/>
          <w:szCs w:val="18"/>
          <w:color w:val="auto"/>
        </w:rPr>
      </w:pPr>
    </w:p>
    <w:p>
      <w:pPr>
        <w:ind w:left="1020" w:right="32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and expense of pending and threatened litigation, or legal proceedings, including a pending purported federal securities class action; and</w:t>
      </w:r>
    </w:p>
    <w:p>
      <w:pPr>
        <w:spacing w:after="0" w:line="53" w:lineRule="exact"/>
        <w:rPr>
          <w:rFonts w:ascii="Times New Roman" w:cs="Times New Roman" w:eastAsia="Times New Roman" w:hAnsi="Times New Roman"/>
          <w:sz w:val="18"/>
          <w:szCs w:val="18"/>
          <w:color w:val="auto"/>
        </w:rPr>
      </w:pPr>
    </w:p>
    <w:p>
      <w:pPr>
        <w:ind w:left="1020" w:right="40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any infectious disease outbreak and its impact or potential impact on our business or on the healthcare industry, particularly elective surgeries where our products are used.</w:t>
      </w:r>
    </w:p>
    <w:p>
      <w:pPr>
        <w:spacing w:after="0" w:line="162"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We believe that it is important to communicate our future expectations to our investors. However, there may be events in the future that we are not able to accurately predict or control and that may cause our actual results to differ materially from the expectations we describe in our forward-looking statements. These forward-looking statements are based on management's current expectations, estimates, forecasts and projections about our business and the industry in which we operate, and management's beliefs and assumptions and are not guarantees of future performance or development and involve known and unknown risks, uncertainties and other factors, many of which are beyond our control. As a result, any or all of our forward-looking statements in this Quarterly Report and in other written materials or oral statements made by senior management to analysts, investors, representatives of the media or others may turn out to be inaccurate. Factors that may cause actual results to differ materially from current expectations include, among other things, those set forth in our Annual Report on Form 10-K for the year ended December 31, 2025 and any subsequent Quarterly Reports on Form 10-Q filed with the U.S. Securities and Exchange Commission ("SEC"), and this Quarterly Report under "Risk Factors" and elsewhere in this Quarterly Report. Readers and investors are urged to consider these factors carefully in evaluating the forward-looking statements.</w:t>
      </w:r>
    </w:p>
    <w:p>
      <w:pPr>
        <w:spacing w:after="0" w:line="19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These forward-looking statements speak only as of the date of this Quarterly Report. Except as required by law, we assume no obligation to update or revise these forward-looking statements for any reason, even if new information becomes available in the future. You should not rely upon forward-looking statements as predictions of future events. Although we believe that the expectations reflected in the forward-looking statements are reasonable, we cannot guarantee that the future results, levels of activity, performance or events and circumstances reflected in the forward-looking statements will be achieved or occur. We undertake no obligation to update publicly any forward-looking statements for any reason after the date of this Quarterly Report to conform these statements to actual results or to changes in our expectations. If we update one or more forward-looking statements, no inference should be drawn that we will make additional updates with respect to those or other forward-looking statements.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 w:name="page5"/>
    <w:bookmarkEnd w:id="4"/>
    <w:p>
      <w:pPr>
        <w:spacing w:after="0" w:line="266" w:lineRule="auto"/>
        <w:rPr>
          <w:sz w:val="20"/>
          <w:szCs w:val="20"/>
          <w:color w:val="auto"/>
        </w:rPr>
      </w:pPr>
      <w:r>
        <w:rPr>
          <w:rFonts w:ascii="Times New Roman" w:cs="Times New Roman" w:eastAsia="Times New Roman" w:hAnsi="Times New Roman"/>
          <w:sz w:val="18"/>
          <w:szCs w:val="18"/>
          <w:color w:val="auto"/>
        </w:rPr>
        <w:t>You should read this Quarterly Report and the documents that we reference in this Quarterly Report and have filed with the SEC as exhibits to this Quarterly Report with the understanding that our actual future results, levels of activity, performance and events and circumstances may be materially different from what we expect.</w:t>
      </w:r>
    </w:p>
    <w:p>
      <w:pPr>
        <w:spacing w:after="0" w:line="176"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20" w:top="1309" w:right="77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Condensed Financial Statements.</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Treace Medical Concepts,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80" w:type="dxa"/>
            <w:vAlign w:val="bottom"/>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77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0"/>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9,544</w:t>
            </w:r>
          </w:p>
        </w:tc>
        <w:tc>
          <w:tcPr>
            <w:tcW w:w="4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10,708</w:t>
            </w:r>
          </w:p>
        </w:tc>
        <w:tc>
          <w:tcPr>
            <w:tcW w:w="0" w:type="dxa"/>
            <w:vAlign w:val="bottom"/>
          </w:tcPr>
          <w:p>
            <w:pPr>
              <w:spacing w:after="0"/>
              <w:rPr>
                <w:sz w:val="1"/>
                <w:szCs w:val="1"/>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Marketable securities, short-term</w:t>
            </w:r>
          </w:p>
        </w:tc>
        <w:tc>
          <w:tcPr>
            <w:tcW w:w="280" w:type="dxa"/>
            <w:vAlign w:val="bottom"/>
          </w:tcPr>
          <w:p>
            <w:pPr>
              <w:spacing w:after="0"/>
              <w:rPr>
                <w:sz w:val="18"/>
                <w:szCs w:val="18"/>
                <w:color w:val="auto"/>
              </w:rPr>
            </w:pPr>
          </w:p>
        </w:tc>
        <w:tc>
          <w:tcPr>
            <w:tcW w:w="13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42,310</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37,659</w:t>
            </w:r>
          </w:p>
        </w:tc>
        <w:tc>
          <w:tcPr>
            <w:tcW w:w="0" w:type="dxa"/>
            <w:vAlign w:val="bottom"/>
          </w:tcPr>
          <w:p>
            <w:pPr>
              <w:spacing w:after="0"/>
              <w:rPr>
                <w:sz w:val="1"/>
                <w:szCs w:val="1"/>
                <w:color w:val="auto"/>
              </w:rPr>
            </w:pPr>
          </w:p>
        </w:tc>
      </w:tr>
      <w:tr>
        <w:trPr>
          <w:trHeight w:val="198"/>
        </w:trPr>
        <w:tc>
          <w:tcPr>
            <w:tcW w:w="7740" w:type="dxa"/>
            <w:vAlign w:val="bottom"/>
            <w:shd w:val="clear" w:color="auto" w:fill="CFF0FC"/>
          </w:tcPr>
          <w:p>
            <w:pPr>
              <w:ind w:left="140"/>
              <w:spacing w:after="0" w:line="198" w:lineRule="exact"/>
              <w:rPr>
                <w:sz w:val="20"/>
                <w:szCs w:val="20"/>
                <w:color w:val="auto"/>
              </w:rPr>
            </w:pPr>
            <w:r>
              <w:rPr>
                <w:rFonts w:ascii="Times New Roman" w:cs="Times New Roman" w:eastAsia="Times New Roman" w:hAnsi="Times New Roman"/>
                <w:sz w:val="18"/>
                <w:szCs w:val="18"/>
                <w:color w:val="auto"/>
              </w:rPr>
              <w:t>Accounts receivable, net of allowance for credit losses of $1,563 and $1,824 as of March 31, 2026 and</w:t>
            </w:r>
          </w:p>
        </w:tc>
        <w:tc>
          <w:tcPr>
            <w:tcW w:w="28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December 31, 2025, respectively</w:t>
            </w:r>
          </w:p>
        </w:tc>
        <w:tc>
          <w:tcPr>
            <w:tcW w:w="280" w:type="dxa"/>
            <w:vAlign w:val="bottom"/>
            <w:shd w:val="clear" w:color="auto" w:fill="CFF0FC"/>
          </w:tcPr>
          <w:p>
            <w:pPr>
              <w:spacing w:after="0"/>
              <w:rPr>
                <w:sz w:val="20"/>
                <w:szCs w:val="20"/>
                <w:color w:val="auto"/>
              </w:rPr>
            </w:pPr>
          </w:p>
        </w:tc>
        <w:tc>
          <w:tcPr>
            <w:tcW w:w="138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30,358</w:t>
            </w:r>
          </w:p>
        </w:tc>
        <w:tc>
          <w:tcPr>
            <w:tcW w:w="1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4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42,155</w:t>
            </w:r>
          </w:p>
        </w:tc>
        <w:tc>
          <w:tcPr>
            <w:tcW w:w="0" w:type="dxa"/>
            <w:vAlign w:val="bottom"/>
          </w:tcPr>
          <w:p>
            <w:pPr>
              <w:spacing w:after="0"/>
              <w:rPr>
                <w:sz w:val="1"/>
                <w:szCs w:val="1"/>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Inventories</w:t>
            </w:r>
          </w:p>
        </w:tc>
        <w:tc>
          <w:tcPr>
            <w:tcW w:w="280" w:type="dxa"/>
            <w:vAlign w:val="bottom"/>
          </w:tcPr>
          <w:p>
            <w:pPr>
              <w:spacing w:after="0"/>
              <w:rPr>
                <w:sz w:val="18"/>
                <w:szCs w:val="18"/>
                <w:color w:val="auto"/>
              </w:rPr>
            </w:pPr>
          </w:p>
        </w:tc>
        <w:tc>
          <w:tcPr>
            <w:tcW w:w="13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36,366</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36,031</w:t>
            </w:r>
          </w:p>
        </w:tc>
        <w:tc>
          <w:tcPr>
            <w:tcW w:w="0" w:type="dxa"/>
            <w:vAlign w:val="bottom"/>
          </w:tcPr>
          <w:p>
            <w:pPr>
              <w:spacing w:after="0"/>
              <w:rPr>
                <w:sz w:val="1"/>
                <w:szCs w:val="1"/>
                <w:color w:val="auto"/>
              </w:rPr>
            </w:pPr>
          </w:p>
        </w:tc>
      </w:tr>
      <w:tr>
        <w:trPr>
          <w:trHeight w:val="216"/>
        </w:trPr>
        <w:tc>
          <w:tcPr>
            <w:tcW w:w="77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8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4,893</w:t>
            </w:r>
          </w:p>
        </w:tc>
        <w:tc>
          <w:tcPr>
            <w:tcW w:w="1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5,501</w:t>
            </w:r>
          </w:p>
        </w:tc>
        <w:tc>
          <w:tcPr>
            <w:tcW w:w="0" w:type="dxa"/>
            <w:vAlign w:val="bottom"/>
          </w:tcPr>
          <w:p>
            <w:pPr>
              <w:spacing w:after="0"/>
              <w:rPr>
                <w:sz w:val="1"/>
                <w:szCs w:val="1"/>
                <w:color w:val="auto"/>
              </w:rPr>
            </w:pPr>
          </w:p>
        </w:tc>
      </w:tr>
      <w:tr>
        <w:trPr>
          <w:trHeight w:val="209"/>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280" w:type="dxa"/>
            <w:vAlign w:val="bottom"/>
          </w:tcPr>
          <w:p>
            <w:pPr>
              <w:spacing w:after="0"/>
              <w:rPr>
                <w:sz w:val="18"/>
                <w:szCs w:val="18"/>
                <w:color w:val="auto"/>
              </w:rPr>
            </w:pPr>
          </w:p>
        </w:tc>
        <w:tc>
          <w:tcPr>
            <w:tcW w:w="13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123,471</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132,054</w:t>
            </w:r>
          </w:p>
        </w:tc>
        <w:tc>
          <w:tcPr>
            <w:tcW w:w="0" w:type="dxa"/>
            <w:vAlign w:val="bottom"/>
          </w:tcPr>
          <w:p>
            <w:pPr>
              <w:spacing w:after="0"/>
              <w:rPr>
                <w:sz w:val="1"/>
                <w:szCs w:val="1"/>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8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32,063</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29,752</w:t>
            </w:r>
          </w:p>
        </w:tc>
        <w:tc>
          <w:tcPr>
            <w:tcW w:w="0" w:type="dxa"/>
            <w:vAlign w:val="bottom"/>
          </w:tcPr>
          <w:p>
            <w:pPr>
              <w:spacing w:after="0"/>
              <w:rPr>
                <w:sz w:val="1"/>
                <w:szCs w:val="1"/>
                <w:color w:val="auto"/>
              </w:rPr>
            </w:pPr>
          </w:p>
        </w:tc>
      </w:tr>
      <w:tr>
        <w:trPr>
          <w:trHeight w:val="198"/>
        </w:trPr>
        <w:tc>
          <w:tcPr>
            <w:tcW w:w="77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Intangible assets, net of accumulated amortization of $2,613 and $2,375 as of March 31, 2026 and</w:t>
            </w:r>
          </w:p>
        </w:tc>
        <w:tc>
          <w:tcPr>
            <w:tcW w:w="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2025, respectively</w:t>
            </w:r>
          </w:p>
        </w:tc>
        <w:tc>
          <w:tcPr>
            <w:tcW w:w="280" w:type="dxa"/>
            <w:vAlign w:val="bottom"/>
          </w:tcPr>
          <w:p>
            <w:pPr>
              <w:spacing w:after="0"/>
              <w:rPr>
                <w:sz w:val="20"/>
                <w:szCs w:val="20"/>
                <w:color w:val="auto"/>
              </w:rPr>
            </w:pPr>
          </w:p>
        </w:tc>
        <w:tc>
          <w:tcPr>
            <w:tcW w:w="13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6,887</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7,125</w:t>
            </w:r>
          </w:p>
        </w:tc>
        <w:tc>
          <w:tcPr>
            <w:tcW w:w="0" w:type="dxa"/>
            <w:vAlign w:val="bottom"/>
          </w:tcPr>
          <w:p>
            <w:pPr>
              <w:spacing w:after="0"/>
              <w:rPr>
                <w:sz w:val="1"/>
                <w:szCs w:val="1"/>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Goodwill</w:t>
            </w:r>
          </w:p>
        </w:tc>
        <w:tc>
          <w:tcPr>
            <w:tcW w:w="28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12,815</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12,815</w:t>
            </w:r>
          </w:p>
        </w:tc>
        <w:tc>
          <w:tcPr>
            <w:tcW w:w="0" w:type="dxa"/>
            <w:vAlign w:val="bottom"/>
          </w:tcPr>
          <w:p>
            <w:pPr>
              <w:spacing w:after="0"/>
              <w:rPr>
                <w:sz w:val="1"/>
                <w:szCs w:val="1"/>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80" w:type="dxa"/>
            <w:vAlign w:val="bottom"/>
          </w:tcPr>
          <w:p>
            <w:pPr>
              <w:spacing w:after="0"/>
              <w:rPr>
                <w:sz w:val="18"/>
                <w:szCs w:val="18"/>
                <w:color w:val="auto"/>
              </w:rPr>
            </w:pPr>
          </w:p>
        </w:tc>
        <w:tc>
          <w:tcPr>
            <w:tcW w:w="13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7,371</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7,614</w:t>
            </w:r>
          </w:p>
        </w:tc>
        <w:tc>
          <w:tcPr>
            <w:tcW w:w="0" w:type="dxa"/>
            <w:vAlign w:val="bottom"/>
          </w:tcPr>
          <w:p>
            <w:pPr>
              <w:spacing w:after="0"/>
              <w:rPr>
                <w:sz w:val="1"/>
                <w:szCs w:val="1"/>
                <w:color w:val="auto"/>
              </w:rPr>
            </w:pPr>
          </w:p>
        </w:tc>
      </w:tr>
      <w:tr>
        <w:trPr>
          <w:trHeight w:val="198"/>
        </w:trPr>
        <w:tc>
          <w:tcPr>
            <w:tcW w:w="774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Other non-current assets, net of allowance for credit losses of $52 and $69 as of March 31, 2026 and</w:t>
            </w:r>
          </w:p>
        </w:tc>
        <w:tc>
          <w:tcPr>
            <w:tcW w:w="280" w:type="dxa"/>
            <w:vAlign w:val="bottom"/>
            <w:shd w:val="clear" w:color="auto" w:fill="CFF0FC"/>
          </w:tcPr>
          <w:p>
            <w:pPr>
              <w:spacing w:after="0"/>
              <w:rPr>
                <w:sz w:val="17"/>
                <w:szCs w:val="17"/>
                <w:color w:val="auto"/>
              </w:rPr>
            </w:pPr>
          </w:p>
        </w:tc>
        <w:tc>
          <w:tcPr>
            <w:tcW w:w="1380" w:type="dxa"/>
            <w:vAlign w:val="bottom"/>
            <w:vMerge w:val="restart"/>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1,495</w:t>
            </w:r>
          </w:p>
        </w:tc>
        <w:tc>
          <w:tcPr>
            <w:tcW w:w="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40" w:type="dxa"/>
            <w:vAlign w:val="bottom"/>
            <w:vMerge w:val="restart"/>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1,221</w:t>
            </w:r>
          </w:p>
        </w:tc>
        <w:tc>
          <w:tcPr>
            <w:tcW w:w="0" w:type="dxa"/>
            <w:vAlign w:val="bottom"/>
          </w:tcPr>
          <w:p>
            <w:pPr>
              <w:spacing w:after="0"/>
              <w:rPr>
                <w:sz w:val="1"/>
                <w:szCs w:val="1"/>
                <w:color w:val="auto"/>
              </w:rPr>
            </w:pPr>
          </w:p>
        </w:tc>
      </w:tr>
      <w:tr>
        <w:trPr>
          <w:trHeight w:val="221"/>
        </w:trPr>
        <w:tc>
          <w:tcPr>
            <w:tcW w:w="7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December 31, 2025, respectively</w:t>
            </w:r>
          </w:p>
        </w:tc>
        <w:tc>
          <w:tcPr>
            <w:tcW w:w="28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vMerge w:val="continue"/>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184,102</w:t>
            </w: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190,581</w:t>
            </w: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74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8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13,537</w:t>
            </w:r>
          </w:p>
        </w:tc>
        <w:tc>
          <w:tcPr>
            <w:tcW w:w="4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6,726</w:t>
            </w:r>
          </w:p>
        </w:tc>
        <w:tc>
          <w:tcPr>
            <w:tcW w:w="0" w:type="dxa"/>
            <w:vAlign w:val="bottom"/>
          </w:tcPr>
          <w:p>
            <w:pPr>
              <w:spacing w:after="0"/>
              <w:rPr>
                <w:sz w:val="1"/>
                <w:szCs w:val="1"/>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liabilities</w:t>
            </w:r>
          </w:p>
        </w:tc>
        <w:tc>
          <w:tcPr>
            <w:tcW w:w="280" w:type="dxa"/>
            <w:vAlign w:val="bottom"/>
          </w:tcPr>
          <w:p>
            <w:pPr>
              <w:spacing w:after="0"/>
              <w:rPr>
                <w:sz w:val="18"/>
                <w:szCs w:val="18"/>
                <w:color w:val="auto"/>
              </w:rPr>
            </w:pPr>
          </w:p>
        </w:tc>
        <w:tc>
          <w:tcPr>
            <w:tcW w:w="13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5,978</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5,784</w:t>
            </w:r>
          </w:p>
        </w:tc>
        <w:tc>
          <w:tcPr>
            <w:tcW w:w="0" w:type="dxa"/>
            <w:vAlign w:val="bottom"/>
          </w:tcPr>
          <w:p>
            <w:pPr>
              <w:spacing w:after="0"/>
              <w:rPr>
                <w:sz w:val="1"/>
                <w:szCs w:val="1"/>
                <w:color w:val="auto"/>
              </w:rPr>
            </w:pP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Accrued commissions</w:t>
            </w:r>
          </w:p>
        </w:tc>
        <w:tc>
          <w:tcPr>
            <w:tcW w:w="28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6,755</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9,365</w:t>
            </w:r>
          </w:p>
        </w:tc>
        <w:tc>
          <w:tcPr>
            <w:tcW w:w="0" w:type="dxa"/>
            <w:vAlign w:val="bottom"/>
          </w:tcPr>
          <w:p>
            <w:pPr>
              <w:spacing w:after="0"/>
              <w:rPr>
                <w:sz w:val="1"/>
                <w:szCs w:val="1"/>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compensation</w:t>
            </w:r>
          </w:p>
        </w:tc>
        <w:tc>
          <w:tcPr>
            <w:tcW w:w="280" w:type="dxa"/>
            <w:vAlign w:val="bottom"/>
          </w:tcPr>
          <w:p>
            <w:pPr>
              <w:spacing w:after="0"/>
              <w:rPr>
                <w:sz w:val="18"/>
                <w:szCs w:val="18"/>
                <w:color w:val="auto"/>
              </w:rPr>
            </w:pPr>
          </w:p>
        </w:tc>
        <w:tc>
          <w:tcPr>
            <w:tcW w:w="13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5,621</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6,331</w:t>
            </w:r>
          </w:p>
        </w:tc>
        <w:tc>
          <w:tcPr>
            <w:tcW w:w="0" w:type="dxa"/>
            <w:vAlign w:val="bottom"/>
          </w:tcPr>
          <w:p>
            <w:pPr>
              <w:spacing w:after="0"/>
              <w:rPr>
                <w:sz w:val="1"/>
                <w:szCs w:val="1"/>
                <w:color w:val="auto"/>
              </w:rPr>
            </w:pPr>
          </w:p>
        </w:tc>
      </w:tr>
      <w:tr>
        <w:trPr>
          <w:trHeight w:val="216"/>
        </w:trPr>
        <w:tc>
          <w:tcPr>
            <w:tcW w:w="77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 liabilities</w:t>
            </w:r>
          </w:p>
        </w:tc>
        <w:tc>
          <w:tcPr>
            <w:tcW w:w="28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2,600</w:t>
            </w:r>
          </w:p>
        </w:tc>
        <w:tc>
          <w:tcPr>
            <w:tcW w:w="1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2,429</w:t>
            </w:r>
          </w:p>
        </w:tc>
        <w:tc>
          <w:tcPr>
            <w:tcW w:w="0" w:type="dxa"/>
            <w:vAlign w:val="bottom"/>
          </w:tcPr>
          <w:p>
            <w:pPr>
              <w:spacing w:after="0"/>
              <w:rPr>
                <w:sz w:val="1"/>
                <w:szCs w:val="1"/>
                <w:color w:val="auto"/>
              </w:rPr>
            </w:pPr>
          </w:p>
        </w:tc>
      </w:tr>
      <w:tr>
        <w:trPr>
          <w:trHeight w:val="210"/>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80" w:type="dxa"/>
            <w:vAlign w:val="bottom"/>
          </w:tcPr>
          <w:p>
            <w:pPr>
              <w:spacing w:after="0"/>
              <w:rPr>
                <w:sz w:val="18"/>
                <w:szCs w:val="18"/>
                <w:color w:val="auto"/>
              </w:rPr>
            </w:pPr>
          </w:p>
        </w:tc>
        <w:tc>
          <w:tcPr>
            <w:tcW w:w="13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34,491</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30,635</w:t>
            </w:r>
          </w:p>
        </w:tc>
        <w:tc>
          <w:tcPr>
            <w:tcW w:w="0" w:type="dxa"/>
            <w:vAlign w:val="bottom"/>
          </w:tcPr>
          <w:p>
            <w:pPr>
              <w:spacing w:after="0"/>
              <w:rPr>
                <w:sz w:val="1"/>
                <w:szCs w:val="1"/>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debt, net</w:t>
            </w:r>
          </w:p>
        </w:tc>
        <w:tc>
          <w:tcPr>
            <w:tcW w:w="28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55,820</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55,583</w:t>
            </w:r>
          </w:p>
        </w:tc>
        <w:tc>
          <w:tcPr>
            <w:tcW w:w="0" w:type="dxa"/>
            <w:vAlign w:val="bottom"/>
          </w:tcPr>
          <w:p>
            <w:pPr>
              <w:spacing w:after="0"/>
              <w:rPr>
                <w:sz w:val="1"/>
                <w:szCs w:val="1"/>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280" w:type="dxa"/>
            <w:vAlign w:val="bottom"/>
          </w:tcPr>
          <w:p>
            <w:pPr>
              <w:spacing w:after="0"/>
              <w:rPr>
                <w:sz w:val="18"/>
                <w:szCs w:val="18"/>
                <w:color w:val="auto"/>
              </w:rPr>
            </w:pPr>
          </w:p>
        </w:tc>
        <w:tc>
          <w:tcPr>
            <w:tcW w:w="13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13,551</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13,982</w:t>
            </w:r>
          </w:p>
        </w:tc>
        <w:tc>
          <w:tcPr>
            <w:tcW w:w="0" w:type="dxa"/>
            <w:vAlign w:val="bottom"/>
          </w:tcPr>
          <w:p>
            <w:pPr>
              <w:spacing w:after="0"/>
              <w:rPr>
                <w:sz w:val="1"/>
                <w:szCs w:val="1"/>
                <w:color w:val="auto"/>
              </w:rPr>
            </w:pPr>
          </w:p>
        </w:tc>
      </w:tr>
      <w:tr>
        <w:trPr>
          <w:trHeight w:val="216"/>
        </w:trPr>
        <w:tc>
          <w:tcPr>
            <w:tcW w:w="7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8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3,049</w:t>
            </w:r>
          </w:p>
        </w:tc>
        <w:tc>
          <w:tcPr>
            <w:tcW w:w="1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3,049</w:t>
            </w:r>
          </w:p>
        </w:tc>
        <w:tc>
          <w:tcPr>
            <w:tcW w:w="0" w:type="dxa"/>
            <w:vAlign w:val="bottom"/>
          </w:tcPr>
          <w:p>
            <w:pPr>
              <w:spacing w:after="0"/>
              <w:rPr>
                <w:sz w:val="1"/>
                <w:szCs w:val="1"/>
                <w:color w:val="auto"/>
              </w:rPr>
            </w:pPr>
          </w:p>
        </w:tc>
      </w:tr>
      <w:tr>
        <w:trPr>
          <w:trHeight w:val="210"/>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106,911</w:t>
            </w: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103,249</w:t>
            </w:r>
          </w:p>
        </w:tc>
        <w:tc>
          <w:tcPr>
            <w:tcW w:w="0" w:type="dxa"/>
            <w:vAlign w:val="bottom"/>
          </w:tcPr>
          <w:p>
            <w:pPr>
              <w:spacing w:after="0"/>
              <w:rPr>
                <w:sz w:val="1"/>
                <w:szCs w:val="1"/>
                <w:color w:val="auto"/>
              </w:rPr>
            </w:pPr>
          </w:p>
        </w:tc>
      </w:tr>
      <w:tr>
        <w:trPr>
          <w:trHeight w:val="209"/>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Commitments and contingencies (Note 7)</w:t>
            </w:r>
          </w:p>
        </w:tc>
        <w:tc>
          <w:tcPr>
            <w:tcW w:w="2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740" w:type="dxa"/>
            <w:vAlign w:val="bottom"/>
            <w:shd w:val="clear" w:color="auto" w:fill="CFF0FC"/>
          </w:tcPr>
          <w:p>
            <w:pPr>
              <w:ind w:left="140"/>
              <w:spacing w:after="0" w:line="198" w:lineRule="exact"/>
              <w:rPr>
                <w:sz w:val="20"/>
                <w:szCs w:val="20"/>
                <w:color w:val="auto"/>
              </w:rPr>
            </w:pPr>
            <w:r>
              <w:rPr>
                <w:rFonts w:ascii="Times New Roman" w:cs="Times New Roman" w:eastAsia="Times New Roman" w:hAnsi="Times New Roman"/>
                <w:sz w:val="18"/>
                <w:szCs w:val="18"/>
                <w:color w:val="auto"/>
              </w:rPr>
              <w:t>Preferred stock, $0.001 par value, 5,000,000 shares authorized as of March 31, 2026 and December</w:t>
            </w:r>
          </w:p>
        </w:tc>
        <w:tc>
          <w:tcPr>
            <w:tcW w:w="28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31, 2025; 0 shares issued as of March 31, 2026 and December 31, 2025</w:t>
            </w:r>
          </w:p>
        </w:tc>
        <w:tc>
          <w:tcPr>
            <w:tcW w:w="280" w:type="dxa"/>
            <w:vAlign w:val="bottom"/>
            <w:shd w:val="clear" w:color="auto" w:fill="CFF0FC"/>
          </w:tcPr>
          <w:p>
            <w:pPr>
              <w:spacing w:after="0"/>
              <w:rPr>
                <w:sz w:val="20"/>
                <w:szCs w:val="20"/>
                <w:color w:val="auto"/>
              </w:rPr>
            </w:pPr>
          </w:p>
        </w:tc>
        <w:tc>
          <w:tcPr>
            <w:tcW w:w="138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4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774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Common stock, $0.001 par value, 300,000,000 shares authorized; 65,033,812 and 64,029,378 shares</w:t>
            </w:r>
          </w:p>
        </w:tc>
        <w:tc>
          <w:tcPr>
            <w:tcW w:w="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issued as of March 31, 2026 and December 31, 2025, respectively</w:t>
            </w:r>
          </w:p>
        </w:tc>
        <w:tc>
          <w:tcPr>
            <w:tcW w:w="280" w:type="dxa"/>
            <w:vAlign w:val="bottom"/>
          </w:tcPr>
          <w:p>
            <w:pPr>
              <w:spacing w:after="0"/>
              <w:rPr>
                <w:sz w:val="20"/>
                <w:szCs w:val="20"/>
                <w:color w:val="auto"/>
              </w:rPr>
            </w:pPr>
          </w:p>
        </w:tc>
        <w:tc>
          <w:tcPr>
            <w:tcW w:w="13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65</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8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345,495</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337,371</w:t>
            </w:r>
          </w:p>
        </w:tc>
        <w:tc>
          <w:tcPr>
            <w:tcW w:w="0" w:type="dxa"/>
            <w:vAlign w:val="bottom"/>
          </w:tcPr>
          <w:p>
            <w:pPr>
              <w:spacing w:after="0"/>
              <w:rPr>
                <w:sz w:val="1"/>
                <w:szCs w:val="1"/>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Accumulated deficit</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(266,953)</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(248,992)</w:t>
            </w:r>
          </w:p>
        </w:tc>
        <w:tc>
          <w:tcPr>
            <w:tcW w:w="0" w:type="dxa"/>
            <w:vAlign w:val="bottom"/>
          </w:tcPr>
          <w:p>
            <w:pPr>
              <w:spacing w:after="0"/>
              <w:rPr>
                <w:sz w:val="1"/>
                <w:szCs w:val="1"/>
                <w:color w:val="auto"/>
              </w:rPr>
            </w:pP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28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198"/>
        </w:trPr>
        <w:tc>
          <w:tcPr>
            <w:tcW w:w="774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Treasury stock, at cost; 248,126 and 165,513 shares as of March 31, 2026 and December 31, 2025,</w:t>
            </w:r>
          </w:p>
        </w:tc>
        <w:tc>
          <w:tcPr>
            <w:tcW w:w="280" w:type="dxa"/>
            <w:vAlign w:val="bottom"/>
          </w:tcPr>
          <w:p>
            <w:pPr>
              <w:spacing w:after="0"/>
              <w:rPr>
                <w:sz w:val="17"/>
                <w:szCs w:val="17"/>
                <w:color w:val="auto"/>
              </w:rPr>
            </w:pP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(1,390)</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(1,183)</w:t>
            </w:r>
          </w:p>
        </w:tc>
        <w:tc>
          <w:tcPr>
            <w:tcW w:w="0" w:type="dxa"/>
            <w:vAlign w:val="bottom"/>
          </w:tcPr>
          <w:p>
            <w:pPr>
              <w:spacing w:after="0"/>
              <w:rPr>
                <w:sz w:val="1"/>
                <w:szCs w:val="1"/>
                <w:color w:val="auto"/>
              </w:rPr>
            </w:pPr>
          </w:p>
        </w:tc>
      </w:tr>
      <w:tr>
        <w:trPr>
          <w:trHeight w:val="221"/>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respectively</w:t>
            </w:r>
          </w:p>
        </w:tc>
        <w:tc>
          <w:tcPr>
            <w:tcW w:w="2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vMerge w:val="continue"/>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8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77,191</w:t>
            </w:r>
          </w:p>
        </w:tc>
        <w:tc>
          <w:tcPr>
            <w:tcW w:w="1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87,332</w:t>
            </w:r>
          </w:p>
        </w:tc>
        <w:tc>
          <w:tcPr>
            <w:tcW w:w="0" w:type="dxa"/>
            <w:vAlign w:val="bottom"/>
          </w:tcPr>
          <w:p>
            <w:pPr>
              <w:spacing w:after="0"/>
              <w:rPr>
                <w:sz w:val="1"/>
                <w:szCs w:val="1"/>
                <w:color w:val="auto"/>
              </w:rPr>
            </w:pPr>
          </w:p>
        </w:tc>
      </w:tr>
      <w:tr>
        <w:trPr>
          <w:trHeight w:val="209"/>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184,102</w:t>
            </w: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190,581</w:t>
            </w: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-4756785</wp:posOffset>
            </wp:positionV>
            <wp:extent cx="1111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-3659505</wp:posOffset>
            </wp:positionV>
            <wp:extent cx="11112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-2527935</wp:posOffset>
            </wp:positionV>
            <wp:extent cx="11112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-1971040</wp:posOffset>
            </wp:positionV>
            <wp:extent cx="11112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-170815</wp:posOffset>
            </wp:positionV>
            <wp:extent cx="1111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Treace Medical Concepts,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Statements of Operations and Comprehensive Loss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6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3120" w:type="dxa"/>
            <w:vAlign w:val="bottom"/>
            <w:tcBorders>
              <w:bottom w:val="single" w:sz="8" w:color="auto"/>
            </w:tcBorders>
            <w:gridSpan w:val="4"/>
          </w:tcPr>
          <w:p>
            <w:pPr>
              <w:jc w:val="right"/>
              <w:ind w:right="73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2"/>
        </w:trPr>
        <w:tc>
          <w:tcPr>
            <w:tcW w:w="776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65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65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r>
      <w:tr>
        <w:trPr>
          <w:trHeight w:val="210"/>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360" w:type="dxa"/>
            <w:vAlign w:val="bottom"/>
            <w:shd w:val="clear" w:color="auto" w:fill="CFF0FC"/>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47,198</w:t>
            </w:r>
          </w:p>
        </w:tc>
        <w:tc>
          <w:tcPr>
            <w:tcW w:w="5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52,570</w:t>
            </w:r>
          </w:p>
        </w:tc>
      </w:tr>
      <w:tr>
        <w:trPr>
          <w:trHeight w:val="216"/>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3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9,791</w:t>
            </w:r>
          </w:p>
        </w:tc>
        <w:tc>
          <w:tcPr>
            <w:tcW w:w="1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10,677</w:t>
            </w:r>
          </w:p>
        </w:tc>
      </w:tr>
      <w:tr>
        <w:trPr>
          <w:trHeight w:val="209"/>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37,407</w:t>
            </w: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41,893</w:t>
            </w:r>
          </w:p>
        </w:tc>
      </w:tr>
      <w:tr>
        <w:trPr>
          <w:trHeight w:val="216"/>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77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Sales and marketing</w:t>
            </w: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33,775</w:t>
            </w: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36,122</w:t>
            </w:r>
          </w:p>
        </w:tc>
      </w:tr>
      <w:tr>
        <w:trPr>
          <w:trHeight w:val="216"/>
        </w:trPr>
        <w:tc>
          <w:tcPr>
            <w:tcW w:w="7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60" w:type="dxa"/>
            <w:vAlign w:val="bottom"/>
          </w:tcPr>
          <w:p>
            <w:pPr>
              <w:spacing w:after="0"/>
              <w:rPr>
                <w:sz w:val="18"/>
                <w:szCs w:val="18"/>
                <w:color w:val="auto"/>
              </w:rPr>
            </w:pP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4,622</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5,562</w:t>
            </w:r>
          </w:p>
        </w:tc>
      </w:tr>
      <w:tr>
        <w:trPr>
          <w:trHeight w:val="216"/>
        </w:trPr>
        <w:tc>
          <w:tcPr>
            <w:tcW w:w="776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6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16,177</w:t>
            </w:r>
          </w:p>
        </w:tc>
        <w:tc>
          <w:tcPr>
            <w:tcW w:w="18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15,791</w:t>
            </w:r>
          </w:p>
        </w:tc>
      </w:tr>
      <w:tr>
        <w:trPr>
          <w:trHeight w:val="209"/>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3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54,574</w:t>
            </w:r>
          </w:p>
        </w:tc>
        <w:tc>
          <w:tcPr>
            <w:tcW w:w="1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57,475</w:t>
            </w:r>
          </w:p>
        </w:tc>
      </w:tr>
      <w:tr>
        <w:trPr>
          <w:trHeight w:val="210"/>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(17,167)</w:t>
            </w: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(15,582)</w:t>
            </w:r>
          </w:p>
        </w:tc>
      </w:tr>
      <w:tr>
        <w:trPr>
          <w:trHeight w:val="216"/>
        </w:trPr>
        <w:tc>
          <w:tcPr>
            <w:tcW w:w="7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360" w:type="dxa"/>
            <w:vAlign w:val="bottom"/>
          </w:tcPr>
          <w:p>
            <w:pPr>
              <w:spacing w:after="0"/>
              <w:rPr>
                <w:sz w:val="18"/>
                <w:szCs w:val="18"/>
                <w:color w:val="auto"/>
              </w:rPr>
            </w:pP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501</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841</w:t>
            </w:r>
          </w:p>
        </w:tc>
      </w:tr>
      <w:tr>
        <w:trPr>
          <w:trHeight w:val="216"/>
        </w:trPr>
        <w:tc>
          <w:tcPr>
            <w:tcW w:w="77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(1,570)</w:t>
            </w: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(1,311)</w:t>
            </w:r>
          </w:p>
        </w:tc>
      </w:tr>
      <w:tr>
        <w:trPr>
          <w:trHeight w:val="216"/>
        </w:trPr>
        <w:tc>
          <w:tcPr>
            <w:tcW w:w="7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income, net</w:t>
            </w:r>
          </w:p>
        </w:tc>
        <w:tc>
          <w:tcPr>
            <w:tcW w:w="3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275</w:t>
            </w:r>
          </w:p>
        </w:tc>
        <w:tc>
          <w:tcPr>
            <w:tcW w:w="1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130</w:t>
            </w:r>
          </w:p>
        </w:tc>
      </w:tr>
      <w:tr>
        <w:trPr>
          <w:trHeight w:val="210"/>
        </w:trPr>
        <w:tc>
          <w:tcPr>
            <w:tcW w:w="77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non-operating income (expense), net</w:t>
            </w:r>
          </w:p>
        </w:tc>
        <w:tc>
          <w:tcPr>
            <w:tcW w:w="36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(794)</w:t>
            </w:r>
          </w:p>
        </w:tc>
        <w:tc>
          <w:tcPr>
            <w:tcW w:w="18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w:t>
            </w:r>
          </w:p>
        </w:tc>
      </w:tr>
      <w:tr>
        <w:trPr>
          <w:trHeight w:val="209"/>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(17,961)</w:t>
            </w:r>
          </w:p>
        </w:tc>
        <w:tc>
          <w:tcPr>
            <w:tcW w:w="5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(15,922)</w:t>
            </w:r>
          </w:p>
        </w:tc>
      </w:tr>
      <w:tr>
        <w:trPr>
          <w:trHeight w:val="209"/>
        </w:trPr>
        <w:tc>
          <w:tcPr>
            <w:tcW w:w="776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r>
      <w:tr>
        <w:trPr>
          <w:trHeight w:val="216"/>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r>
      <w:tr>
        <w:trPr>
          <w:trHeight w:val="216"/>
        </w:trPr>
        <w:tc>
          <w:tcPr>
            <w:tcW w:w="7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Unrealized gain (loss) on marketable securities</w:t>
            </w:r>
          </w:p>
        </w:tc>
        <w:tc>
          <w:tcPr>
            <w:tcW w:w="3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29"/>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360" w:type="dxa"/>
            <w:vAlign w:val="bottom"/>
            <w:shd w:val="clear" w:color="auto" w:fill="CFF0FC"/>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(18,059)</w:t>
            </w:r>
          </w:p>
        </w:tc>
        <w:tc>
          <w:tcPr>
            <w:tcW w:w="5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(15,962)</w:t>
            </w:r>
          </w:p>
        </w:tc>
      </w:tr>
      <w:tr>
        <w:trPr>
          <w:trHeight w:val="20"/>
        </w:trPr>
        <w:tc>
          <w:tcPr>
            <w:tcW w:w="776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r>
      <w:tr>
        <w:trPr>
          <w:trHeight w:val="413"/>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5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(0.25)</w:t>
            </w:r>
          </w:p>
        </w:tc>
      </w:tr>
      <w:tr>
        <w:trPr>
          <w:trHeight w:val="250"/>
        </w:trPr>
        <w:tc>
          <w:tcPr>
            <w:tcW w:w="776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Weighted-average shares used in computing net loss per share, basic and diluted</w:t>
            </w:r>
          </w:p>
        </w:tc>
        <w:tc>
          <w:tcPr>
            <w:tcW w:w="360" w:type="dxa"/>
            <w:vAlign w:val="bottom"/>
            <w:tcBorders>
              <w:top w:val="single" w:sz="8" w:color="auto"/>
              <w:bottom w:val="single" w:sz="8" w:color="auto"/>
            </w:tcBorders>
            <w:shd w:val="clear" w:color="auto" w:fill="CFF0FC"/>
          </w:tcPr>
          <w:p>
            <w:pPr>
              <w:spacing w:after="0"/>
              <w:rPr>
                <w:sz w:val="21"/>
                <w:szCs w:val="21"/>
                <w:color w:val="auto"/>
              </w:rPr>
            </w:pPr>
          </w:p>
        </w:tc>
        <w:tc>
          <w:tcPr>
            <w:tcW w:w="130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64,592,681</w:t>
            </w:r>
          </w:p>
        </w:tc>
        <w:tc>
          <w:tcPr>
            <w:tcW w:w="18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top w:val="single" w:sz="8" w:color="auto"/>
              <w:bottom w:val="single" w:sz="8" w:color="auto"/>
            </w:tcBorders>
            <w:shd w:val="clear" w:color="auto" w:fill="CFF0FC"/>
          </w:tcPr>
          <w:p>
            <w:pPr>
              <w:spacing w:after="0"/>
              <w:rPr>
                <w:sz w:val="21"/>
                <w:szCs w:val="21"/>
                <w:color w:val="auto"/>
              </w:rPr>
            </w:pPr>
          </w:p>
        </w:tc>
        <w:tc>
          <w:tcPr>
            <w:tcW w:w="1300" w:type="dxa"/>
            <w:vAlign w:val="bottom"/>
            <w:tcBorders>
              <w:top w:val="single" w:sz="8" w:color="auto"/>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62,661,447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5979795</wp:posOffset>
            </wp:positionH>
            <wp:positionV relativeFrom="paragraph">
              <wp:posOffset>-2030730</wp:posOffset>
            </wp:positionV>
            <wp:extent cx="11112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-1182370</wp:posOffset>
            </wp:positionV>
            <wp:extent cx="11112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-471170</wp:posOffset>
            </wp:positionV>
            <wp:extent cx="11112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-453390</wp:posOffset>
            </wp:positionV>
            <wp:extent cx="11112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-24765</wp:posOffset>
            </wp:positionV>
            <wp:extent cx="11112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-7620</wp:posOffset>
            </wp:positionV>
            <wp:extent cx="11112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7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7" w:name="page8"/>
    <w:bookmarkEnd w:id="7"/>
    <w:p>
      <w:pPr>
        <w:ind w:left="4460"/>
        <w:spacing w:after="0"/>
        <w:rPr>
          <w:sz w:val="20"/>
          <w:szCs w:val="20"/>
          <w:color w:val="auto"/>
        </w:rPr>
      </w:pPr>
      <w:r>
        <w:rPr>
          <w:rFonts w:ascii="Times New Roman" w:cs="Times New Roman" w:eastAsia="Times New Roman" w:hAnsi="Times New Roman"/>
          <w:sz w:val="18"/>
          <w:szCs w:val="18"/>
          <w:b w:val="1"/>
          <w:bCs w:val="1"/>
          <w:color w:val="auto"/>
        </w:rPr>
        <w:t>Treace Medical Concepts, Inc.</w:t>
      </w:r>
    </w:p>
    <w:p>
      <w:pPr>
        <w:spacing w:after="0" w:line="31"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Condensed Statements of Stockholders’ Equity</w:t>
      </w:r>
    </w:p>
    <w:p>
      <w:pPr>
        <w:spacing w:after="0" w:line="9"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31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center"/>
              <w:ind w:right="152"/>
              <w:spacing w:after="0"/>
              <w:rPr>
                <w:sz w:val="20"/>
                <w:szCs w:val="20"/>
                <w:color w:val="auto"/>
              </w:rPr>
            </w:pPr>
            <w:r>
              <w:rPr>
                <w:rFonts w:ascii="Times New Roman" w:cs="Times New Roman" w:eastAsia="Times New Roman" w:hAnsi="Times New Roman"/>
                <w:sz w:val="11"/>
                <w:szCs w:val="11"/>
                <w:b w:val="1"/>
                <w:bCs w:val="1"/>
                <w:color w:val="auto"/>
                <w:w w:val="96"/>
              </w:rPr>
              <w:t>Accumulated</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40" w:type="dxa"/>
            <w:vAlign w:val="bottom"/>
          </w:tcPr>
          <w:p>
            <w:pPr>
              <w:spacing w:after="0"/>
              <w:rPr>
                <w:sz w:val="12"/>
                <w:szCs w:val="12"/>
                <w:color w:val="auto"/>
              </w:rPr>
            </w:pPr>
          </w:p>
        </w:tc>
        <w:tc>
          <w:tcPr>
            <w:tcW w:w="1500" w:type="dxa"/>
            <w:vAlign w:val="bottom"/>
            <w:gridSpan w:val="2"/>
            <w:vMerge w:val="restart"/>
          </w:tcPr>
          <w:p>
            <w:pPr>
              <w:ind w:left="780"/>
              <w:spacing w:after="0"/>
              <w:rPr>
                <w:sz w:val="20"/>
                <w:szCs w:val="20"/>
                <w:color w:val="auto"/>
              </w:rPr>
            </w:pPr>
            <w:r>
              <w:rPr>
                <w:rFonts w:ascii="Times New Roman" w:cs="Times New Roman" w:eastAsia="Times New Roman" w:hAnsi="Times New Roman"/>
                <w:sz w:val="11"/>
                <w:szCs w:val="11"/>
                <w:b w:val="1"/>
                <w:bCs w:val="1"/>
                <w:color w:val="auto"/>
                <w:w w:val="96"/>
              </w:rPr>
              <w:t>Common Stock</w:t>
            </w: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right"/>
              <w:ind w:right="251"/>
              <w:spacing w:after="0"/>
              <w:rPr>
                <w:sz w:val="20"/>
                <w:szCs w:val="20"/>
                <w:color w:val="auto"/>
              </w:rPr>
            </w:pPr>
            <w:r>
              <w:rPr>
                <w:rFonts w:ascii="Times New Roman" w:cs="Times New Roman" w:eastAsia="Times New Roman" w:hAnsi="Times New Roman"/>
                <w:sz w:val="11"/>
                <w:szCs w:val="11"/>
                <w:b w:val="1"/>
                <w:bCs w:val="1"/>
                <w:color w:val="auto"/>
              </w:rPr>
              <w:t>Additional</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center"/>
              <w:ind w:right="152"/>
              <w:spacing w:after="0"/>
              <w:rPr>
                <w:sz w:val="20"/>
                <w:szCs w:val="20"/>
                <w:color w:val="auto"/>
              </w:rPr>
            </w:pPr>
            <w:r>
              <w:rPr>
                <w:rFonts w:ascii="Times New Roman" w:cs="Times New Roman" w:eastAsia="Times New Roman" w:hAnsi="Times New Roman"/>
                <w:sz w:val="11"/>
                <w:szCs w:val="11"/>
                <w:b w:val="1"/>
                <w:bCs w:val="1"/>
                <w:color w:val="auto"/>
                <w:w w:val="99"/>
              </w:rPr>
              <w:t>Other</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center"/>
              <w:ind w:right="131"/>
              <w:spacing w:after="0"/>
              <w:rPr>
                <w:sz w:val="20"/>
                <w:szCs w:val="20"/>
                <w:color w:val="auto"/>
              </w:rPr>
            </w:pPr>
            <w:r>
              <w:rPr>
                <w:rFonts w:ascii="Times New Roman" w:cs="Times New Roman" w:eastAsia="Times New Roman" w:hAnsi="Times New Roman"/>
                <w:sz w:val="11"/>
                <w:szCs w:val="11"/>
                <w:b w:val="1"/>
                <w:bCs w:val="1"/>
                <w:color w:val="auto"/>
                <w:w w:val="95"/>
              </w:rPr>
              <w:t>Total</w:t>
            </w:r>
          </w:p>
        </w:tc>
        <w:tc>
          <w:tcPr>
            <w:tcW w:w="0" w:type="dxa"/>
            <w:vAlign w:val="bottom"/>
          </w:tcPr>
          <w:p>
            <w:pPr>
              <w:spacing w:after="0"/>
              <w:rPr>
                <w:sz w:val="1"/>
                <w:szCs w:val="1"/>
                <w:color w:val="auto"/>
              </w:rPr>
            </w:pPr>
          </w:p>
        </w:tc>
      </w:tr>
      <w:tr>
        <w:trPr>
          <w:trHeight w:val="130"/>
        </w:trPr>
        <w:tc>
          <w:tcPr>
            <w:tcW w:w="3140" w:type="dxa"/>
            <w:vAlign w:val="bottom"/>
          </w:tcPr>
          <w:p>
            <w:pPr>
              <w:spacing w:after="0"/>
              <w:rPr>
                <w:sz w:val="11"/>
                <w:szCs w:val="11"/>
                <w:color w:val="auto"/>
              </w:rPr>
            </w:pPr>
          </w:p>
        </w:tc>
        <w:tc>
          <w:tcPr>
            <w:tcW w:w="1500" w:type="dxa"/>
            <w:vAlign w:val="bottom"/>
            <w:tcBorders>
              <w:bottom w:val="single" w:sz="8" w:color="auto"/>
            </w:tcBorders>
            <w:gridSpan w:val="2"/>
            <w:vMerge w:val="continue"/>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jc w:val="right"/>
              <w:ind w:right="331"/>
              <w:spacing w:after="0"/>
              <w:rPr>
                <w:sz w:val="20"/>
                <w:szCs w:val="20"/>
                <w:color w:val="auto"/>
              </w:rPr>
            </w:pPr>
            <w:r>
              <w:rPr>
                <w:rFonts w:ascii="Times New Roman" w:cs="Times New Roman" w:eastAsia="Times New Roman" w:hAnsi="Times New Roman"/>
                <w:sz w:val="11"/>
                <w:szCs w:val="11"/>
                <w:b w:val="1"/>
                <w:bCs w:val="1"/>
                <w:color w:val="auto"/>
              </w:rPr>
              <w:t>Paid-In</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jc w:val="right"/>
              <w:ind w:right="190"/>
              <w:spacing w:after="0"/>
              <w:rPr>
                <w:sz w:val="20"/>
                <w:szCs w:val="20"/>
                <w:color w:val="auto"/>
              </w:rPr>
            </w:pPr>
            <w:r>
              <w:rPr>
                <w:rFonts w:ascii="Times New Roman" w:cs="Times New Roman" w:eastAsia="Times New Roman" w:hAnsi="Times New Roman"/>
                <w:sz w:val="11"/>
                <w:szCs w:val="11"/>
                <w:b w:val="1"/>
                <w:bCs w:val="1"/>
                <w:color w:val="auto"/>
                <w:w w:val="99"/>
              </w:rPr>
              <w:t>Accumulated</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jc w:val="center"/>
              <w:ind w:right="152"/>
              <w:spacing w:after="0"/>
              <w:rPr>
                <w:sz w:val="20"/>
                <w:szCs w:val="20"/>
                <w:color w:val="auto"/>
              </w:rPr>
            </w:pPr>
            <w:r>
              <w:rPr>
                <w:rFonts w:ascii="Times New Roman" w:cs="Times New Roman" w:eastAsia="Times New Roman" w:hAnsi="Times New Roman"/>
                <w:sz w:val="11"/>
                <w:szCs w:val="11"/>
                <w:b w:val="1"/>
                <w:bCs w:val="1"/>
                <w:color w:val="auto"/>
                <w:w w:val="98"/>
              </w:rPr>
              <w:t>Comprehensive</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jc w:val="right"/>
              <w:ind w:right="270"/>
              <w:spacing w:after="0"/>
              <w:rPr>
                <w:sz w:val="20"/>
                <w:szCs w:val="20"/>
                <w:color w:val="auto"/>
              </w:rPr>
            </w:pPr>
            <w:r>
              <w:rPr>
                <w:rFonts w:ascii="Times New Roman" w:cs="Times New Roman" w:eastAsia="Times New Roman" w:hAnsi="Times New Roman"/>
                <w:sz w:val="11"/>
                <w:szCs w:val="11"/>
                <w:b w:val="1"/>
                <w:bCs w:val="1"/>
                <w:color w:val="auto"/>
              </w:rPr>
              <w:t>Treasury</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jc w:val="center"/>
              <w:ind w:right="131"/>
              <w:spacing w:after="0"/>
              <w:rPr>
                <w:sz w:val="20"/>
                <w:szCs w:val="20"/>
                <w:color w:val="auto"/>
              </w:rPr>
            </w:pPr>
            <w:r>
              <w:rPr>
                <w:rFonts w:ascii="Times New Roman" w:cs="Times New Roman" w:eastAsia="Times New Roman" w:hAnsi="Times New Roman"/>
                <w:sz w:val="11"/>
                <w:szCs w:val="11"/>
                <w:b w:val="1"/>
                <w:bCs w:val="1"/>
                <w:color w:val="auto"/>
                <w:w w:val="98"/>
              </w:rPr>
              <w:t>Stockholders’</w:t>
            </w:r>
          </w:p>
        </w:tc>
        <w:tc>
          <w:tcPr>
            <w:tcW w:w="0" w:type="dxa"/>
            <w:vAlign w:val="bottom"/>
          </w:tcPr>
          <w:p>
            <w:pPr>
              <w:spacing w:after="0"/>
              <w:rPr>
                <w:sz w:val="1"/>
                <w:szCs w:val="1"/>
                <w:color w:val="auto"/>
              </w:rPr>
            </w:pPr>
          </w:p>
        </w:tc>
      </w:tr>
      <w:tr>
        <w:trPr>
          <w:trHeight w:val="128"/>
        </w:trPr>
        <w:tc>
          <w:tcPr>
            <w:tcW w:w="3140" w:type="dxa"/>
            <w:vAlign w:val="bottom"/>
          </w:tcPr>
          <w:p>
            <w:pPr>
              <w:spacing w:after="0"/>
              <w:rPr>
                <w:sz w:val="11"/>
                <w:szCs w:val="11"/>
                <w:color w:val="auto"/>
              </w:rPr>
            </w:pPr>
          </w:p>
        </w:tc>
        <w:tc>
          <w:tcPr>
            <w:tcW w:w="13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1"/>
                <w:szCs w:val="11"/>
                <w:b w:val="1"/>
                <w:bCs w:val="1"/>
                <w:color w:val="auto"/>
              </w:rPr>
              <w:t>Outstanding Shares</w:t>
            </w:r>
          </w:p>
        </w:tc>
        <w:tc>
          <w:tcPr>
            <w:tcW w:w="1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ind w:right="269"/>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1"/>
                <w:szCs w:val="11"/>
                <w:b w:val="1"/>
                <w:bCs w:val="1"/>
                <w:color w:val="auto"/>
              </w:rPr>
              <w:t>Capital</w:t>
            </w: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center"/>
              <w:ind w:right="152"/>
              <w:spacing w:after="0"/>
              <w:rPr>
                <w:sz w:val="20"/>
                <w:szCs w:val="20"/>
                <w:color w:val="auto"/>
              </w:rPr>
            </w:pPr>
            <w:r>
              <w:rPr>
                <w:rFonts w:ascii="Times New Roman" w:cs="Times New Roman" w:eastAsia="Times New Roman" w:hAnsi="Times New Roman"/>
                <w:sz w:val="11"/>
                <w:szCs w:val="11"/>
                <w:b w:val="1"/>
                <w:bCs w:val="1"/>
                <w:color w:val="auto"/>
                <w:w w:val="96"/>
              </w:rPr>
              <w:t>Income (Loss)</w:t>
            </w:r>
          </w:p>
        </w:tc>
        <w:tc>
          <w:tcPr>
            <w:tcW w:w="1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1"/>
                <w:szCs w:val="11"/>
                <w:b w:val="1"/>
                <w:bCs w:val="1"/>
                <w:color w:val="auto"/>
              </w:rPr>
              <w:t>Stock</w:t>
            </w: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center"/>
              <w:ind w:right="151"/>
              <w:spacing w:after="0"/>
              <w:rPr>
                <w:sz w:val="20"/>
                <w:szCs w:val="20"/>
                <w:color w:val="auto"/>
              </w:rPr>
            </w:pPr>
            <w:r>
              <w:rPr>
                <w:rFonts w:ascii="Times New Roman" w:cs="Times New Roman" w:eastAsia="Times New Roman" w:hAnsi="Times New Roman"/>
                <w:sz w:val="11"/>
                <w:szCs w:val="11"/>
                <w:b w:val="1"/>
                <w:bCs w:val="1"/>
                <w:color w:val="auto"/>
                <w:w w:val="94"/>
              </w:rPr>
              <w:t>Equity</w:t>
            </w:r>
          </w:p>
        </w:tc>
        <w:tc>
          <w:tcPr>
            <w:tcW w:w="0" w:type="dxa"/>
            <w:vAlign w:val="bottom"/>
          </w:tcPr>
          <w:p>
            <w:pPr>
              <w:spacing w:after="0"/>
              <w:rPr>
                <w:sz w:val="1"/>
                <w:szCs w:val="1"/>
                <w:color w:val="auto"/>
              </w:rPr>
            </w:pPr>
          </w:p>
        </w:tc>
      </w:tr>
      <w:tr>
        <w:trPr>
          <w:trHeight w:val="142"/>
        </w:trPr>
        <w:tc>
          <w:tcPr>
            <w:tcW w:w="314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Balances at December 31, 2025</w:t>
            </w:r>
          </w:p>
        </w:tc>
        <w:tc>
          <w:tcPr>
            <w:tcW w:w="1380" w:type="dxa"/>
            <w:vAlign w:val="bottom"/>
            <w:shd w:val="clear" w:color="auto" w:fill="CFF0FC"/>
          </w:tcPr>
          <w:p>
            <w:pPr>
              <w:jc w:val="right"/>
              <w:ind w:right="70"/>
              <w:spacing w:after="0" w:line="142" w:lineRule="exact"/>
              <w:rPr>
                <w:sz w:val="20"/>
                <w:szCs w:val="20"/>
                <w:color w:val="auto"/>
              </w:rPr>
            </w:pPr>
            <w:r>
              <w:rPr>
                <w:rFonts w:ascii="Times New Roman" w:cs="Times New Roman" w:eastAsia="Times New Roman" w:hAnsi="Times New Roman"/>
                <w:sz w:val="14"/>
                <w:szCs w:val="14"/>
                <w:color w:val="auto"/>
              </w:rPr>
              <w:t>63,863,865</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FF0FC"/>
          </w:tcPr>
          <w:p>
            <w:pPr>
              <w:jc w:val="right"/>
              <w:ind w:right="69"/>
              <w:spacing w:after="0" w:line="142" w:lineRule="exact"/>
              <w:rPr>
                <w:sz w:val="20"/>
                <w:szCs w:val="20"/>
                <w:color w:val="auto"/>
              </w:rPr>
            </w:pPr>
            <w:r>
              <w:rPr>
                <w:rFonts w:ascii="Times New Roman" w:cs="Times New Roman" w:eastAsia="Times New Roman" w:hAnsi="Times New Roman"/>
                <w:sz w:val="14"/>
                <w:szCs w:val="14"/>
                <w:color w:val="auto"/>
              </w:rPr>
              <w:t>64</w:t>
            </w:r>
          </w:p>
        </w:tc>
        <w:tc>
          <w:tcPr>
            <w:tcW w:w="26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FF0FC"/>
          </w:tcPr>
          <w:p>
            <w:pPr>
              <w:jc w:val="right"/>
              <w:ind w:right="71"/>
              <w:spacing w:after="0" w:line="142" w:lineRule="exact"/>
              <w:rPr>
                <w:sz w:val="20"/>
                <w:szCs w:val="20"/>
                <w:color w:val="auto"/>
              </w:rPr>
            </w:pPr>
            <w:r>
              <w:rPr>
                <w:rFonts w:ascii="Times New Roman" w:cs="Times New Roman" w:eastAsia="Times New Roman" w:hAnsi="Times New Roman"/>
                <w:sz w:val="14"/>
                <w:szCs w:val="14"/>
                <w:color w:val="auto"/>
              </w:rPr>
              <w:t>337,371</w:t>
            </w:r>
          </w:p>
        </w:tc>
        <w:tc>
          <w:tcPr>
            <w:tcW w:w="20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(248,992)</w:t>
            </w:r>
          </w:p>
        </w:tc>
        <w:tc>
          <w:tcPr>
            <w:tcW w:w="20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FF0FC"/>
          </w:tcPr>
          <w:p>
            <w:pPr>
              <w:jc w:val="right"/>
              <w:ind w:right="52"/>
              <w:spacing w:after="0" w:line="142" w:lineRule="exact"/>
              <w:rPr>
                <w:sz w:val="20"/>
                <w:szCs w:val="20"/>
                <w:color w:val="auto"/>
              </w:rPr>
            </w:pPr>
            <w:r>
              <w:rPr>
                <w:rFonts w:ascii="Times New Roman" w:cs="Times New Roman" w:eastAsia="Times New Roman" w:hAnsi="Times New Roman"/>
                <w:sz w:val="14"/>
                <w:szCs w:val="14"/>
                <w:color w:val="auto"/>
              </w:rPr>
              <w:t>72</w:t>
            </w:r>
          </w:p>
        </w:tc>
        <w:tc>
          <w:tcPr>
            <w:tcW w:w="24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(1,183)</w:t>
            </w:r>
          </w:p>
        </w:tc>
        <w:tc>
          <w:tcPr>
            <w:tcW w:w="20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FF0FC"/>
          </w:tcPr>
          <w:p>
            <w:pPr>
              <w:jc w:val="right"/>
              <w:ind w:right="51"/>
              <w:spacing w:after="0" w:line="142" w:lineRule="exact"/>
              <w:rPr>
                <w:sz w:val="20"/>
                <w:szCs w:val="20"/>
                <w:color w:val="auto"/>
              </w:rPr>
            </w:pPr>
            <w:r>
              <w:rPr>
                <w:rFonts w:ascii="Times New Roman" w:cs="Times New Roman" w:eastAsia="Times New Roman" w:hAnsi="Times New Roman"/>
                <w:sz w:val="14"/>
                <w:szCs w:val="14"/>
                <w:color w:val="auto"/>
              </w:rPr>
              <w:t>87,332</w:t>
            </w:r>
          </w:p>
        </w:tc>
        <w:tc>
          <w:tcPr>
            <w:tcW w:w="0" w:type="dxa"/>
            <w:vAlign w:val="bottom"/>
          </w:tcPr>
          <w:p>
            <w:pPr>
              <w:spacing w:after="0"/>
              <w:rPr>
                <w:sz w:val="1"/>
                <w:szCs w:val="1"/>
                <w:color w:val="auto"/>
              </w:rPr>
            </w:pPr>
          </w:p>
        </w:tc>
      </w:tr>
      <w:tr>
        <w:trPr>
          <w:trHeight w:val="126"/>
        </w:trPr>
        <w:tc>
          <w:tcPr>
            <w:tcW w:w="31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Issuance of common stock upon exercise of stock</w:t>
            </w:r>
          </w:p>
        </w:tc>
        <w:tc>
          <w:tcPr>
            <w:tcW w:w="1380" w:type="dxa"/>
            <w:vAlign w:val="bottom"/>
            <w:vMerge w:val="restart"/>
          </w:tcPr>
          <w:p>
            <w:pPr>
              <w:jc w:val="right"/>
              <w:ind w:right="70"/>
              <w:spacing w:after="0"/>
              <w:rPr>
                <w:sz w:val="20"/>
                <w:szCs w:val="20"/>
                <w:color w:val="auto"/>
              </w:rPr>
            </w:pPr>
            <w:r>
              <w:rPr>
                <w:rFonts w:ascii="Times New Roman" w:cs="Times New Roman" w:eastAsia="Times New Roman" w:hAnsi="Times New Roman"/>
                <w:sz w:val="14"/>
                <w:szCs w:val="14"/>
                <w:color w:val="auto"/>
              </w:rPr>
              <w:t>106,420</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vMerge w:val="restart"/>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vMerge w:val="restart"/>
          </w:tcPr>
          <w:p>
            <w:pPr>
              <w:jc w:val="right"/>
              <w:ind w:right="71"/>
              <w:spacing w:after="0"/>
              <w:rPr>
                <w:sz w:val="20"/>
                <w:szCs w:val="20"/>
                <w:color w:val="auto"/>
              </w:rPr>
            </w:pPr>
            <w:r>
              <w:rPr>
                <w:rFonts w:ascii="Times New Roman" w:cs="Times New Roman" w:eastAsia="Times New Roman" w:hAnsi="Times New Roman"/>
                <w:sz w:val="14"/>
                <w:szCs w:val="14"/>
                <w:color w:val="auto"/>
              </w:rPr>
              <w:t>91</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vMerge w:val="restart"/>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vMerge w:val="restart"/>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vMerge w:val="restart"/>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vMerge w:val="restart"/>
          </w:tcPr>
          <w:p>
            <w:pPr>
              <w:jc w:val="right"/>
              <w:ind w:right="51"/>
              <w:spacing w:after="0"/>
              <w:rPr>
                <w:sz w:val="20"/>
                <w:szCs w:val="20"/>
                <w:color w:val="auto"/>
              </w:rPr>
            </w:pPr>
            <w:r>
              <w:rPr>
                <w:rFonts w:ascii="Times New Roman" w:cs="Times New Roman" w:eastAsia="Times New Roman" w:hAnsi="Times New Roman"/>
                <w:sz w:val="14"/>
                <w:szCs w:val="14"/>
                <w:color w:val="auto"/>
              </w:rPr>
              <w:t>91</w:t>
            </w:r>
          </w:p>
        </w:tc>
        <w:tc>
          <w:tcPr>
            <w:tcW w:w="0" w:type="dxa"/>
            <w:vAlign w:val="bottom"/>
          </w:tcPr>
          <w:p>
            <w:pPr>
              <w:spacing w:after="0"/>
              <w:rPr>
                <w:sz w:val="1"/>
                <w:szCs w:val="1"/>
                <w:color w:val="auto"/>
              </w:rPr>
            </w:pPr>
          </w:p>
        </w:tc>
      </w:tr>
      <w:tr>
        <w:trPr>
          <w:trHeight w:val="171"/>
        </w:trPr>
        <w:tc>
          <w:tcPr>
            <w:tcW w:w="3140" w:type="dxa"/>
            <w:vAlign w:val="bottom"/>
          </w:tcPr>
          <w:p>
            <w:pPr>
              <w:spacing w:after="0"/>
              <w:rPr>
                <w:sz w:val="20"/>
                <w:szCs w:val="20"/>
                <w:color w:val="auto"/>
              </w:rPr>
            </w:pPr>
            <w:r>
              <w:rPr>
                <w:rFonts w:ascii="Times New Roman" w:cs="Times New Roman" w:eastAsia="Times New Roman" w:hAnsi="Times New Roman"/>
                <w:sz w:val="14"/>
                <w:szCs w:val="14"/>
                <w:color w:val="auto"/>
              </w:rPr>
              <w:t>options</w:t>
            </w:r>
          </w:p>
        </w:tc>
        <w:tc>
          <w:tcPr>
            <w:tcW w:w="13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14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Issuance of common stock for vesting of restricted</w:t>
            </w:r>
          </w:p>
        </w:tc>
        <w:tc>
          <w:tcPr>
            <w:tcW w:w="1380" w:type="dxa"/>
            <w:vAlign w:val="bottom"/>
            <w:vMerge w:val="restart"/>
            <w:shd w:val="clear" w:color="auto" w:fill="CFF0FC"/>
          </w:tcPr>
          <w:p>
            <w:pPr>
              <w:jc w:val="right"/>
              <w:ind w:right="70"/>
              <w:spacing w:after="0"/>
              <w:rPr>
                <w:sz w:val="20"/>
                <w:szCs w:val="20"/>
                <w:color w:val="auto"/>
              </w:rPr>
            </w:pPr>
            <w:r>
              <w:rPr>
                <w:rFonts w:ascii="Times New Roman" w:cs="Times New Roman" w:eastAsia="Times New Roman" w:hAnsi="Times New Roman"/>
                <w:sz w:val="14"/>
                <w:szCs w:val="14"/>
                <w:color w:val="auto"/>
              </w:rPr>
              <w:t>898,014</w:t>
            </w:r>
          </w:p>
        </w:tc>
        <w:tc>
          <w:tcPr>
            <w:tcW w:w="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80" w:type="dxa"/>
            <w:vAlign w:val="bottom"/>
            <w:vMerge w:val="restart"/>
            <w:shd w:val="clear" w:color="auto" w:fill="CFF0FC"/>
          </w:tcPr>
          <w:p>
            <w:pPr>
              <w:jc w:val="right"/>
              <w:ind w:right="69"/>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00" w:type="dxa"/>
            <w:vAlign w:val="bottom"/>
            <w:vMerge w:val="restart"/>
            <w:shd w:val="clear" w:color="auto" w:fill="CFF0FC"/>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20" w:type="dxa"/>
            <w:vAlign w:val="bottom"/>
            <w:vMerge w:val="restart"/>
            <w:shd w:val="clear" w:color="auto" w:fill="CFF0FC"/>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60" w:type="dxa"/>
            <w:vAlign w:val="bottom"/>
            <w:vMerge w:val="restart"/>
            <w:shd w:val="clear" w:color="auto" w:fill="CFF0FC"/>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20" w:type="dxa"/>
            <w:vAlign w:val="bottom"/>
            <w:vMerge w:val="restart"/>
            <w:shd w:val="clear" w:color="auto" w:fill="CFF0FC"/>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31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stock units</w:t>
            </w:r>
          </w:p>
        </w:tc>
        <w:tc>
          <w:tcPr>
            <w:tcW w:w="138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8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8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6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1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Share-based compensation expense</w:t>
            </w:r>
          </w:p>
        </w:tc>
        <w:tc>
          <w:tcPr>
            <w:tcW w:w="150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80" w:type="dxa"/>
            <w:vAlign w:val="bottom"/>
          </w:tcPr>
          <w:p>
            <w:pPr>
              <w:jc w:val="right"/>
              <w:ind w:right="6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right"/>
              <w:ind w:right="71"/>
              <w:spacing w:after="0" w:line="149" w:lineRule="exact"/>
              <w:rPr>
                <w:sz w:val="20"/>
                <w:szCs w:val="20"/>
                <w:color w:val="auto"/>
              </w:rPr>
            </w:pPr>
            <w:r>
              <w:rPr>
                <w:rFonts w:ascii="Times New Roman" w:cs="Times New Roman" w:eastAsia="Times New Roman" w:hAnsi="Times New Roman"/>
                <w:sz w:val="14"/>
                <w:szCs w:val="14"/>
                <w:color w:val="auto"/>
              </w:rPr>
              <w:t>8,034</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right"/>
              <w:ind w:right="5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right"/>
              <w:ind w:right="5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right"/>
              <w:ind w:right="51"/>
              <w:spacing w:after="0" w:line="149" w:lineRule="exact"/>
              <w:rPr>
                <w:sz w:val="20"/>
                <w:szCs w:val="20"/>
                <w:color w:val="auto"/>
              </w:rPr>
            </w:pPr>
            <w:r>
              <w:rPr>
                <w:rFonts w:ascii="Times New Roman" w:cs="Times New Roman" w:eastAsia="Times New Roman" w:hAnsi="Times New Roman"/>
                <w:sz w:val="14"/>
                <w:szCs w:val="14"/>
                <w:color w:val="auto"/>
              </w:rPr>
              <w:t>8,034</w:t>
            </w:r>
          </w:p>
        </w:tc>
        <w:tc>
          <w:tcPr>
            <w:tcW w:w="0" w:type="dxa"/>
            <w:vAlign w:val="bottom"/>
          </w:tcPr>
          <w:p>
            <w:pPr>
              <w:spacing w:after="0"/>
              <w:rPr>
                <w:sz w:val="1"/>
                <w:szCs w:val="1"/>
                <w:color w:val="auto"/>
              </w:rPr>
            </w:pPr>
          </w:p>
        </w:tc>
      </w:tr>
      <w:tr>
        <w:trPr>
          <w:trHeight w:val="149"/>
        </w:trPr>
        <w:tc>
          <w:tcPr>
            <w:tcW w:w="31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1500" w:type="dxa"/>
            <w:vAlign w:val="bottom"/>
            <w:gridSpan w:val="2"/>
            <w:shd w:val="clear" w:color="auto" w:fill="CFF0FC"/>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780" w:type="dxa"/>
            <w:vAlign w:val="bottom"/>
            <w:shd w:val="clear" w:color="auto" w:fill="CFF0FC"/>
          </w:tcPr>
          <w:p>
            <w:pPr>
              <w:jc w:val="right"/>
              <w:ind w:right="6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80" w:type="dxa"/>
            <w:vAlign w:val="bottom"/>
            <w:shd w:val="clear" w:color="auto" w:fill="CFF0FC"/>
          </w:tcPr>
          <w:p>
            <w:pPr>
              <w:jc w:val="right"/>
              <w:ind w:right="71"/>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(17,961)</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20" w:type="dxa"/>
            <w:vAlign w:val="bottom"/>
            <w:shd w:val="clear" w:color="auto" w:fill="CFF0FC"/>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60" w:type="dxa"/>
            <w:vAlign w:val="bottom"/>
            <w:shd w:val="clear" w:color="auto" w:fill="CFF0FC"/>
          </w:tcPr>
          <w:p>
            <w:pPr>
              <w:jc w:val="right"/>
              <w:ind w:right="5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(17,961)</w:t>
            </w:r>
          </w:p>
        </w:tc>
        <w:tc>
          <w:tcPr>
            <w:tcW w:w="0" w:type="dxa"/>
            <w:vAlign w:val="bottom"/>
          </w:tcPr>
          <w:p>
            <w:pPr>
              <w:spacing w:after="0"/>
              <w:rPr>
                <w:sz w:val="1"/>
                <w:szCs w:val="1"/>
                <w:color w:val="auto"/>
              </w:rPr>
            </w:pPr>
          </w:p>
        </w:tc>
      </w:tr>
      <w:tr>
        <w:trPr>
          <w:trHeight w:val="126"/>
        </w:trPr>
        <w:tc>
          <w:tcPr>
            <w:tcW w:w="31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Unrealized gain (loss) on available-for-sale</w:t>
            </w:r>
          </w:p>
        </w:tc>
        <w:tc>
          <w:tcPr>
            <w:tcW w:w="150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780" w:type="dxa"/>
            <w:vAlign w:val="bottom"/>
            <w:vMerge w:val="restart"/>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vMerge w:val="restart"/>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vMerge w:val="restart"/>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vMerge w:val="restart"/>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0" w:type="dxa"/>
            <w:vAlign w:val="bottom"/>
          </w:tcPr>
          <w:p>
            <w:pPr>
              <w:spacing w:after="0"/>
              <w:rPr>
                <w:sz w:val="1"/>
                <w:szCs w:val="1"/>
                <w:color w:val="auto"/>
              </w:rPr>
            </w:pPr>
          </w:p>
        </w:tc>
      </w:tr>
      <w:tr>
        <w:trPr>
          <w:trHeight w:val="171"/>
        </w:trPr>
        <w:tc>
          <w:tcPr>
            <w:tcW w:w="3140" w:type="dxa"/>
            <w:vAlign w:val="bottom"/>
          </w:tcPr>
          <w:p>
            <w:pPr>
              <w:spacing w:after="0"/>
              <w:rPr>
                <w:sz w:val="20"/>
                <w:szCs w:val="20"/>
                <w:color w:val="auto"/>
              </w:rPr>
            </w:pPr>
            <w:r>
              <w:rPr>
                <w:rFonts w:ascii="Times New Roman" w:cs="Times New Roman" w:eastAsia="Times New Roman" w:hAnsi="Times New Roman"/>
                <w:sz w:val="14"/>
                <w:szCs w:val="14"/>
                <w:color w:val="auto"/>
              </w:rPr>
              <w:t>marketable securities</w:t>
            </w:r>
          </w:p>
        </w:tc>
        <w:tc>
          <w:tcPr>
            <w:tcW w:w="15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14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Shares directly withheld from employees for tax</w:t>
            </w:r>
          </w:p>
        </w:tc>
        <w:tc>
          <w:tcPr>
            <w:tcW w:w="1380" w:type="dxa"/>
            <w:vAlign w:val="bottom"/>
            <w:vMerge w:val="restart"/>
            <w:shd w:val="clear" w:color="auto" w:fill="CFF0FC"/>
          </w:tcPr>
          <w:p>
            <w:pPr>
              <w:jc w:val="right"/>
              <w:ind w:right="10"/>
              <w:spacing w:after="0"/>
              <w:rPr>
                <w:sz w:val="20"/>
                <w:szCs w:val="20"/>
                <w:color w:val="auto"/>
              </w:rPr>
            </w:pPr>
            <w:r>
              <w:rPr>
                <w:rFonts w:ascii="Times New Roman" w:cs="Times New Roman" w:eastAsia="Times New Roman" w:hAnsi="Times New Roman"/>
                <w:sz w:val="14"/>
                <w:szCs w:val="14"/>
                <w:color w:val="auto"/>
              </w:rPr>
              <w:t>(82,613)</w:t>
            </w:r>
          </w:p>
        </w:tc>
        <w:tc>
          <w:tcPr>
            <w:tcW w:w="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80" w:type="dxa"/>
            <w:vAlign w:val="bottom"/>
            <w:vMerge w:val="restart"/>
            <w:shd w:val="clear" w:color="auto" w:fill="CFF0FC"/>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80" w:type="dxa"/>
            <w:vAlign w:val="bottom"/>
            <w:vMerge w:val="restart"/>
            <w:shd w:val="clear" w:color="auto" w:fill="CFF0FC"/>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00" w:type="dxa"/>
            <w:vAlign w:val="bottom"/>
            <w:vMerge w:val="restart"/>
            <w:shd w:val="clear" w:color="auto" w:fill="CFF0FC"/>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20" w:type="dxa"/>
            <w:vAlign w:val="bottom"/>
            <w:vMerge w:val="restart"/>
            <w:shd w:val="clear" w:color="auto" w:fill="CFF0FC"/>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(207)</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(207)</w:t>
            </w:r>
          </w:p>
        </w:tc>
        <w:tc>
          <w:tcPr>
            <w:tcW w:w="0" w:type="dxa"/>
            <w:vAlign w:val="bottom"/>
          </w:tcPr>
          <w:p>
            <w:pPr>
              <w:spacing w:after="0"/>
              <w:rPr>
                <w:sz w:val="1"/>
                <w:szCs w:val="1"/>
                <w:color w:val="auto"/>
              </w:rPr>
            </w:pPr>
          </w:p>
        </w:tc>
      </w:tr>
      <w:tr>
        <w:trPr>
          <w:trHeight w:val="158"/>
        </w:trPr>
        <w:tc>
          <w:tcPr>
            <w:tcW w:w="3140" w:type="dxa"/>
            <w:vAlign w:val="bottom"/>
            <w:tcBorders>
              <w:bottom w:val="single" w:sz="8" w:color="CFF0FC"/>
            </w:tcBorders>
            <w:shd w:val="clear" w:color="auto" w:fill="CFF0FC"/>
          </w:tcPr>
          <w:p>
            <w:pPr>
              <w:spacing w:after="0" w:line="158" w:lineRule="exact"/>
              <w:rPr>
                <w:sz w:val="20"/>
                <w:szCs w:val="20"/>
                <w:color w:val="auto"/>
              </w:rPr>
            </w:pPr>
            <w:r>
              <w:rPr>
                <w:rFonts w:ascii="Times New Roman" w:cs="Times New Roman" w:eastAsia="Times New Roman" w:hAnsi="Times New Roman"/>
                <w:sz w:val="14"/>
                <w:szCs w:val="14"/>
                <w:color w:val="auto"/>
              </w:rPr>
              <w:t>payment</w:t>
            </w:r>
          </w:p>
        </w:tc>
        <w:tc>
          <w:tcPr>
            <w:tcW w:w="1380" w:type="dxa"/>
            <w:vAlign w:val="bottom"/>
            <w:tcBorders>
              <w:bottom w:val="single" w:sz="8" w:color="auto"/>
            </w:tcBorders>
            <w:vMerge w:val="continue"/>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780" w:type="dxa"/>
            <w:vAlign w:val="bottom"/>
            <w:tcBorders>
              <w:bottom w:val="single" w:sz="8" w:color="auto"/>
            </w:tcBorders>
            <w:vMerge w:val="continue"/>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880" w:type="dxa"/>
            <w:vAlign w:val="bottom"/>
            <w:tcBorders>
              <w:bottom w:val="single" w:sz="8" w:color="auto"/>
            </w:tcBorders>
            <w:vMerge w:val="continue"/>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900" w:type="dxa"/>
            <w:vAlign w:val="bottom"/>
            <w:tcBorders>
              <w:bottom w:val="single" w:sz="8" w:color="auto"/>
            </w:tcBorders>
            <w:vMerge w:val="continue"/>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1020" w:type="dxa"/>
            <w:vAlign w:val="bottom"/>
            <w:tcBorders>
              <w:bottom w:val="single" w:sz="8" w:color="auto"/>
            </w:tcBorders>
            <w:vMerge w:val="continue"/>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860" w:type="dxa"/>
            <w:vAlign w:val="bottom"/>
            <w:tcBorders>
              <w:bottom w:val="single" w:sz="8" w:color="auto"/>
            </w:tcBorders>
            <w:vMerge w:val="continue"/>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920" w:type="dxa"/>
            <w:vAlign w:val="bottom"/>
            <w:tcBorders>
              <w:bottom w:val="single" w:sz="8" w:color="auto"/>
            </w:tcBorders>
            <w:vMerge w:val="continue"/>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14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Balances at March 31, 2026</w:t>
            </w:r>
          </w:p>
        </w:tc>
        <w:tc>
          <w:tcPr>
            <w:tcW w:w="1380" w:type="dxa"/>
            <w:vAlign w:val="bottom"/>
            <w:tcBorders>
              <w:bottom w:val="single" w:sz="8" w:color="auto"/>
            </w:tcBorders>
          </w:tcPr>
          <w:p>
            <w:pPr>
              <w:jc w:val="right"/>
              <w:ind w:right="70"/>
              <w:spacing w:after="0" w:line="129" w:lineRule="exact"/>
              <w:rPr>
                <w:sz w:val="20"/>
                <w:szCs w:val="20"/>
                <w:color w:val="auto"/>
              </w:rPr>
            </w:pPr>
            <w:r>
              <w:rPr>
                <w:rFonts w:ascii="Times New Roman" w:cs="Times New Roman" w:eastAsia="Times New Roman" w:hAnsi="Times New Roman"/>
                <w:sz w:val="14"/>
                <w:szCs w:val="14"/>
                <w:color w:val="auto"/>
              </w:rPr>
              <w:t>64,785,686</w:t>
            </w:r>
          </w:p>
        </w:tc>
        <w:tc>
          <w:tcPr>
            <w:tcW w:w="120" w:type="dxa"/>
            <w:vAlign w:val="bottom"/>
          </w:tcPr>
          <w:p>
            <w:pPr>
              <w:spacing w:after="0"/>
              <w:rPr>
                <w:sz w:val="12"/>
                <w:szCs w:val="12"/>
                <w:color w:val="auto"/>
              </w:rPr>
            </w:pPr>
          </w:p>
        </w:tc>
        <w:tc>
          <w:tcPr>
            <w:tcW w:w="1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tcPr>
          <w:p>
            <w:pPr>
              <w:jc w:val="right"/>
              <w:ind w:right="69"/>
              <w:spacing w:after="0" w:line="129" w:lineRule="exact"/>
              <w:rPr>
                <w:sz w:val="20"/>
                <w:szCs w:val="20"/>
                <w:color w:val="auto"/>
              </w:rPr>
            </w:pPr>
            <w:r>
              <w:rPr>
                <w:rFonts w:ascii="Times New Roman" w:cs="Times New Roman" w:eastAsia="Times New Roman" w:hAnsi="Times New Roman"/>
                <w:sz w:val="14"/>
                <w:szCs w:val="14"/>
                <w:color w:val="auto"/>
              </w:rPr>
              <w:t>65</w:t>
            </w:r>
          </w:p>
        </w:tc>
        <w:tc>
          <w:tcPr>
            <w:tcW w:w="120" w:type="dxa"/>
            <w:vAlign w:val="bottom"/>
          </w:tcPr>
          <w:p>
            <w:pPr>
              <w:spacing w:after="0"/>
              <w:rPr>
                <w:sz w:val="12"/>
                <w:szCs w:val="12"/>
                <w:color w:val="auto"/>
              </w:rPr>
            </w:pPr>
          </w:p>
        </w:tc>
        <w:tc>
          <w:tcPr>
            <w:tcW w:w="1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ind w:right="71"/>
              <w:spacing w:after="0" w:line="129" w:lineRule="exact"/>
              <w:rPr>
                <w:sz w:val="20"/>
                <w:szCs w:val="20"/>
                <w:color w:val="auto"/>
              </w:rPr>
            </w:pPr>
            <w:r>
              <w:rPr>
                <w:rFonts w:ascii="Times New Roman" w:cs="Times New Roman" w:eastAsia="Times New Roman" w:hAnsi="Times New Roman"/>
                <w:sz w:val="14"/>
                <w:szCs w:val="14"/>
                <w:color w:val="auto"/>
              </w:rPr>
              <w:t>345,495</w:t>
            </w:r>
          </w:p>
        </w:tc>
        <w:tc>
          <w:tcPr>
            <w:tcW w:w="100" w:type="dxa"/>
            <w:vAlign w:val="bottom"/>
          </w:tcPr>
          <w:p>
            <w:pPr>
              <w:spacing w:after="0"/>
              <w:rPr>
                <w:sz w:val="12"/>
                <w:szCs w:val="12"/>
                <w:color w:val="auto"/>
              </w:rPr>
            </w:pPr>
          </w:p>
        </w:tc>
        <w:tc>
          <w:tcPr>
            <w:tcW w:w="1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(266,953)</w:t>
            </w:r>
          </w:p>
        </w:tc>
        <w:tc>
          <w:tcPr>
            <w:tcW w:w="100" w:type="dxa"/>
            <w:vAlign w:val="bottom"/>
          </w:tcPr>
          <w:p>
            <w:pPr>
              <w:spacing w:after="0"/>
              <w:rPr>
                <w:sz w:val="12"/>
                <w:szCs w:val="12"/>
                <w:color w:val="auto"/>
              </w:rPr>
            </w:pPr>
          </w:p>
        </w:tc>
        <w:tc>
          <w:tcPr>
            <w:tcW w:w="1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(26)</w:t>
            </w:r>
          </w:p>
        </w:tc>
        <w:tc>
          <w:tcPr>
            <w:tcW w:w="100" w:type="dxa"/>
            <w:vAlign w:val="bottom"/>
          </w:tcPr>
          <w:p>
            <w:pPr>
              <w:spacing w:after="0"/>
              <w:rPr>
                <w:sz w:val="12"/>
                <w:szCs w:val="12"/>
                <w:color w:val="auto"/>
              </w:rPr>
            </w:pPr>
          </w:p>
        </w:tc>
        <w:tc>
          <w:tcPr>
            <w:tcW w:w="1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(1,390)</w:t>
            </w:r>
          </w:p>
        </w:tc>
        <w:tc>
          <w:tcPr>
            <w:tcW w:w="100" w:type="dxa"/>
            <w:vAlign w:val="bottom"/>
          </w:tcPr>
          <w:p>
            <w:pPr>
              <w:spacing w:after="0"/>
              <w:rPr>
                <w:sz w:val="12"/>
                <w:szCs w:val="12"/>
                <w:color w:val="auto"/>
              </w:rPr>
            </w:pPr>
          </w:p>
        </w:tc>
        <w:tc>
          <w:tcPr>
            <w:tcW w:w="1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tcPr>
          <w:p>
            <w:pPr>
              <w:jc w:val="right"/>
              <w:ind w:right="51"/>
              <w:spacing w:after="0" w:line="129" w:lineRule="exact"/>
              <w:rPr>
                <w:sz w:val="20"/>
                <w:szCs w:val="20"/>
                <w:color w:val="auto"/>
              </w:rPr>
            </w:pPr>
            <w:r>
              <w:rPr>
                <w:rFonts w:ascii="Times New Roman" w:cs="Times New Roman" w:eastAsia="Times New Roman" w:hAnsi="Times New Roman"/>
                <w:sz w:val="14"/>
                <w:szCs w:val="14"/>
                <w:color w:val="auto"/>
              </w:rPr>
              <w:t>77,191</w:t>
            </w: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314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1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Balances at December 31, 2024</w:t>
            </w:r>
          </w:p>
        </w:tc>
        <w:tc>
          <w:tcPr>
            <w:tcW w:w="1380" w:type="dxa"/>
            <w:vAlign w:val="bottom"/>
            <w:shd w:val="clear" w:color="auto" w:fill="CFF0FC"/>
          </w:tcPr>
          <w:p>
            <w:pPr>
              <w:jc w:val="right"/>
              <w:ind w:right="70"/>
              <w:spacing w:after="0" w:line="149" w:lineRule="exact"/>
              <w:rPr>
                <w:sz w:val="20"/>
                <w:szCs w:val="20"/>
                <w:color w:val="auto"/>
              </w:rPr>
            </w:pPr>
            <w:r>
              <w:rPr>
                <w:rFonts w:ascii="Times New Roman" w:cs="Times New Roman" w:eastAsia="Times New Roman" w:hAnsi="Times New Roman"/>
                <w:sz w:val="14"/>
                <w:szCs w:val="14"/>
                <w:color w:val="auto"/>
              </w:rPr>
              <w:t>62,361,710</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FF0FC"/>
          </w:tcPr>
          <w:p>
            <w:pPr>
              <w:jc w:val="right"/>
              <w:ind w:right="69"/>
              <w:spacing w:after="0" w:line="149" w:lineRule="exact"/>
              <w:rPr>
                <w:sz w:val="20"/>
                <w:szCs w:val="20"/>
                <w:color w:val="auto"/>
              </w:rPr>
            </w:pPr>
            <w:r>
              <w:rPr>
                <w:rFonts w:ascii="Times New Roman" w:cs="Times New Roman" w:eastAsia="Times New Roman" w:hAnsi="Times New Roman"/>
                <w:sz w:val="14"/>
                <w:szCs w:val="14"/>
                <w:color w:val="auto"/>
              </w:rPr>
              <w:t>62</w:t>
            </w:r>
          </w:p>
        </w:tc>
        <w:tc>
          <w:tcPr>
            <w:tcW w:w="26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FF0FC"/>
          </w:tcPr>
          <w:p>
            <w:pPr>
              <w:jc w:val="right"/>
              <w:ind w:right="71"/>
              <w:spacing w:after="0" w:line="149" w:lineRule="exact"/>
              <w:rPr>
                <w:sz w:val="20"/>
                <w:szCs w:val="20"/>
                <w:color w:val="auto"/>
              </w:rPr>
            </w:pPr>
            <w:r>
              <w:rPr>
                <w:rFonts w:ascii="Times New Roman" w:cs="Times New Roman" w:eastAsia="Times New Roman" w:hAnsi="Times New Roman"/>
                <w:sz w:val="14"/>
                <w:szCs w:val="14"/>
                <w:color w:val="auto"/>
              </w:rPr>
              <w:t>303,004</w:t>
            </w:r>
          </w:p>
        </w:tc>
        <w:tc>
          <w:tcPr>
            <w:tcW w:w="20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(189,990)</w:t>
            </w:r>
          </w:p>
        </w:tc>
        <w:tc>
          <w:tcPr>
            <w:tcW w:w="20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FF0FC"/>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rPr>
              <w:t>97</w:t>
            </w:r>
          </w:p>
        </w:tc>
        <w:tc>
          <w:tcPr>
            <w:tcW w:w="24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(281)</w:t>
            </w:r>
          </w:p>
        </w:tc>
        <w:tc>
          <w:tcPr>
            <w:tcW w:w="20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FF0FC"/>
          </w:tcPr>
          <w:p>
            <w:pPr>
              <w:jc w:val="right"/>
              <w:ind w:right="51"/>
              <w:spacing w:after="0" w:line="149" w:lineRule="exact"/>
              <w:rPr>
                <w:sz w:val="20"/>
                <w:szCs w:val="20"/>
                <w:color w:val="auto"/>
              </w:rPr>
            </w:pPr>
            <w:r>
              <w:rPr>
                <w:rFonts w:ascii="Times New Roman" w:cs="Times New Roman" w:eastAsia="Times New Roman" w:hAnsi="Times New Roman"/>
                <w:sz w:val="14"/>
                <w:szCs w:val="14"/>
                <w:color w:val="auto"/>
              </w:rPr>
              <w:t>112,892</w:t>
            </w:r>
          </w:p>
        </w:tc>
        <w:tc>
          <w:tcPr>
            <w:tcW w:w="0" w:type="dxa"/>
            <w:vAlign w:val="bottom"/>
          </w:tcPr>
          <w:p>
            <w:pPr>
              <w:spacing w:after="0"/>
              <w:rPr>
                <w:sz w:val="1"/>
                <w:szCs w:val="1"/>
                <w:color w:val="auto"/>
              </w:rPr>
            </w:pPr>
          </w:p>
        </w:tc>
      </w:tr>
      <w:tr>
        <w:trPr>
          <w:trHeight w:val="126"/>
        </w:trPr>
        <w:tc>
          <w:tcPr>
            <w:tcW w:w="31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Issuance of common stock upon exercise of stock</w:t>
            </w:r>
          </w:p>
        </w:tc>
        <w:tc>
          <w:tcPr>
            <w:tcW w:w="1380" w:type="dxa"/>
            <w:vAlign w:val="bottom"/>
            <w:vMerge w:val="restart"/>
          </w:tcPr>
          <w:p>
            <w:pPr>
              <w:jc w:val="right"/>
              <w:ind w:right="70"/>
              <w:spacing w:after="0"/>
              <w:rPr>
                <w:sz w:val="20"/>
                <w:szCs w:val="20"/>
                <w:color w:val="auto"/>
              </w:rPr>
            </w:pPr>
            <w:r>
              <w:rPr>
                <w:rFonts w:ascii="Times New Roman" w:cs="Times New Roman" w:eastAsia="Times New Roman" w:hAnsi="Times New Roman"/>
                <w:sz w:val="14"/>
                <w:szCs w:val="14"/>
                <w:color w:val="auto"/>
              </w:rPr>
              <w:t>82,829</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vMerge w:val="restart"/>
          </w:tcPr>
          <w:p>
            <w:pPr>
              <w:jc w:val="right"/>
              <w:ind w:right="69"/>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vMerge w:val="restart"/>
          </w:tcPr>
          <w:p>
            <w:pPr>
              <w:jc w:val="right"/>
              <w:ind w:right="71"/>
              <w:spacing w:after="0"/>
              <w:rPr>
                <w:sz w:val="20"/>
                <w:szCs w:val="20"/>
                <w:color w:val="auto"/>
              </w:rPr>
            </w:pPr>
            <w:r>
              <w:rPr>
                <w:rFonts w:ascii="Times New Roman" w:cs="Times New Roman" w:eastAsia="Times New Roman" w:hAnsi="Times New Roman"/>
                <w:sz w:val="14"/>
                <w:szCs w:val="14"/>
                <w:color w:val="auto"/>
              </w:rPr>
              <w:t>118</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vMerge w:val="restart"/>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vMerge w:val="restart"/>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vMerge w:val="restart"/>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vMerge w:val="restart"/>
          </w:tcPr>
          <w:p>
            <w:pPr>
              <w:jc w:val="right"/>
              <w:ind w:right="51"/>
              <w:spacing w:after="0"/>
              <w:rPr>
                <w:sz w:val="20"/>
                <w:szCs w:val="20"/>
                <w:color w:val="auto"/>
              </w:rPr>
            </w:pPr>
            <w:r>
              <w:rPr>
                <w:rFonts w:ascii="Times New Roman" w:cs="Times New Roman" w:eastAsia="Times New Roman" w:hAnsi="Times New Roman"/>
                <w:sz w:val="14"/>
                <w:szCs w:val="14"/>
                <w:color w:val="auto"/>
              </w:rPr>
              <w:t>119</w:t>
            </w:r>
          </w:p>
        </w:tc>
        <w:tc>
          <w:tcPr>
            <w:tcW w:w="0" w:type="dxa"/>
            <w:vAlign w:val="bottom"/>
          </w:tcPr>
          <w:p>
            <w:pPr>
              <w:spacing w:after="0"/>
              <w:rPr>
                <w:sz w:val="1"/>
                <w:szCs w:val="1"/>
                <w:color w:val="auto"/>
              </w:rPr>
            </w:pPr>
          </w:p>
        </w:tc>
      </w:tr>
      <w:tr>
        <w:trPr>
          <w:trHeight w:val="171"/>
        </w:trPr>
        <w:tc>
          <w:tcPr>
            <w:tcW w:w="3140" w:type="dxa"/>
            <w:vAlign w:val="bottom"/>
          </w:tcPr>
          <w:p>
            <w:pPr>
              <w:spacing w:after="0"/>
              <w:rPr>
                <w:sz w:val="20"/>
                <w:szCs w:val="20"/>
                <w:color w:val="auto"/>
              </w:rPr>
            </w:pPr>
            <w:r>
              <w:rPr>
                <w:rFonts w:ascii="Times New Roman" w:cs="Times New Roman" w:eastAsia="Times New Roman" w:hAnsi="Times New Roman"/>
                <w:sz w:val="14"/>
                <w:szCs w:val="14"/>
                <w:color w:val="auto"/>
              </w:rPr>
              <w:t>options</w:t>
            </w:r>
          </w:p>
        </w:tc>
        <w:tc>
          <w:tcPr>
            <w:tcW w:w="13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14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Issuance of common stock for vesting of restricted</w:t>
            </w:r>
          </w:p>
        </w:tc>
        <w:tc>
          <w:tcPr>
            <w:tcW w:w="1380" w:type="dxa"/>
            <w:vAlign w:val="bottom"/>
            <w:vMerge w:val="restart"/>
            <w:shd w:val="clear" w:color="auto" w:fill="CFF0FC"/>
          </w:tcPr>
          <w:p>
            <w:pPr>
              <w:jc w:val="right"/>
              <w:ind w:right="70"/>
              <w:spacing w:after="0"/>
              <w:rPr>
                <w:sz w:val="20"/>
                <w:szCs w:val="20"/>
                <w:color w:val="auto"/>
              </w:rPr>
            </w:pPr>
            <w:r>
              <w:rPr>
                <w:rFonts w:ascii="Times New Roman" w:cs="Times New Roman" w:eastAsia="Times New Roman" w:hAnsi="Times New Roman"/>
                <w:sz w:val="14"/>
                <w:szCs w:val="14"/>
                <w:color w:val="auto"/>
              </w:rPr>
              <w:t>499,572</w:t>
            </w:r>
          </w:p>
        </w:tc>
        <w:tc>
          <w:tcPr>
            <w:tcW w:w="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80" w:type="dxa"/>
            <w:vAlign w:val="bottom"/>
            <w:vMerge w:val="restart"/>
            <w:shd w:val="clear" w:color="auto" w:fill="CFF0FC"/>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80" w:type="dxa"/>
            <w:vAlign w:val="bottom"/>
            <w:vMerge w:val="restart"/>
            <w:shd w:val="clear" w:color="auto" w:fill="CFF0FC"/>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00" w:type="dxa"/>
            <w:vAlign w:val="bottom"/>
            <w:vMerge w:val="restart"/>
            <w:shd w:val="clear" w:color="auto" w:fill="CFF0FC"/>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20" w:type="dxa"/>
            <w:vAlign w:val="bottom"/>
            <w:vMerge w:val="restart"/>
            <w:shd w:val="clear" w:color="auto" w:fill="CFF0FC"/>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60" w:type="dxa"/>
            <w:vAlign w:val="bottom"/>
            <w:vMerge w:val="restart"/>
            <w:shd w:val="clear" w:color="auto" w:fill="CFF0FC"/>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20" w:type="dxa"/>
            <w:vAlign w:val="bottom"/>
            <w:vMerge w:val="restart"/>
            <w:shd w:val="clear" w:color="auto" w:fill="CFF0FC"/>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31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stock units</w:t>
            </w:r>
          </w:p>
        </w:tc>
        <w:tc>
          <w:tcPr>
            <w:tcW w:w="138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8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8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6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1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Share-based compensation expense</w:t>
            </w:r>
          </w:p>
        </w:tc>
        <w:tc>
          <w:tcPr>
            <w:tcW w:w="150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80" w:type="dxa"/>
            <w:vAlign w:val="bottom"/>
          </w:tcPr>
          <w:p>
            <w:pPr>
              <w:jc w:val="right"/>
              <w:ind w:right="6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right"/>
              <w:ind w:right="71"/>
              <w:spacing w:after="0" w:line="149" w:lineRule="exact"/>
              <w:rPr>
                <w:sz w:val="20"/>
                <w:szCs w:val="20"/>
                <w:color w:val="auto"/>
              </w:rPr>
            </w:pPr>
            <w:r>
              <w:rPr>
                <w:rFonts w:ascii="Times New Roman" w:cs="Times New Roman" w:eastAsia="Times New Roman" w:hAnsi="Times New Roman"/>
                <w:sz w:val="14"/>
                <w:szCs w:val="14"/>
                <w:color w:val="auto"/>
              </w:rPr>
              <w:t>8,693</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right"/>
              <w:ind w:right="5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right"/>
              <w:ind w:right="5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right"/>
              <w:ind w:right="51"/>
              <w:spacing w:after="0" w:line="149" w:lineRule="exact"/>
              <w:rPr>
                <w:sz w:val="20"/>
                <w:szCs w:val="20"/>
                <w:color w:val="auto"/>
              </w:rPr>
            </w:pPr>
            <w:r>
              <w:rPr>
                <w:rFonts w:ascii="Times New Roman" w:cs="Times New Roman" w:eastAsia="Times New Roman" w:hAnsi="Times New Roman"/>
                <w:sz w:val="14"/>
                <w:szCs w:val="14"/>
                <w:color w:val="auto"/>
              </w:rPr>
              <w:t>8,693</w:t>
            </w:r>
          </w:p>
        </w:tc>
        <w:tc>
          <w:tcPr>
            <w:tcW w:w="0" w:type="dxa"/>
            <w:vAlign w:val="bottom"/>
          </w:tcPr>
          <w:p>
            <w:pPr>
              <w:spacing w:after="0"/>
              <w:rPr>
                <w:sz w:val="1"/>
                <w:szCs w:val="1"/>
                <w:color w:val="auto"/>
              </w:rPr>
            </w:pPr>
          </w:p>
        </w:tc>
      </w:tr>
      <w:tr>
        <w:trPr>
          <w:trHeight w:val="148"/>
        </w:trPr>
        <w:tc>
          <w:tcPr>
            <w:tcW w:w="31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1500" w:type="dxa"/>
            <w:vAlign w:val="bottom"/>
            <w:gridSpan w:val="2"/>
            <w:shd w:val="clear" w:color="auto" w:fill="CFF0FC"/>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780" w:type="dxa"/>
            <w:vAlign w:val="bottom"/>
            <w:shd w:val="clear" w:color="auto" w:fill="CFF0FC"/>
          </w:tcPr>
          <w:p>
            <w:pPr>
              <w:jc w:val="right"/>
              <w:ind w:right="6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80" w:type="dxa"/>
            <w:vAlign w:val="bottom"/>
            <w:shd w:val="clear" w:color="auto" w:fill="CFF0FC"/>
          </w:tcPr>
          <w:p>
            <w:pPr>
              <w:jc w:val="right"/>
              <w:ind w:right="71"/>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(15,922)</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20" w:type="dxa"/>
            <w:vAlign w:val="bottom"/>
            <w:shd w:val="clear" w:color="auto" w:fill="CFF0FC"/>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60" w:type="dxa"/>
            <w:vAlign w:val="bottom"/>
            <w:shd w:val="clear" w:color="auto" w:fill="CFF0FC"/>
          </w:tcPr>
          <w:p>
            <w:pPr>
              <w:jc w:val="right"/>
              <w:ind w:right="5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(15,922)</w:t>
            </w:r>
          </w:p>
        </w:tc>
        <w:tc>
          <w:tcPr>
            <w:tcW w:w="0" w:type="dxa"/>
            <w:vAlign w:val="bottom"/>
          </w:tcPr>
          <w:p>
            <w:pPr>
              <w:spacing w:after="0"/>
              <w:rPr>
                <w:sz w:val="1"/>
                <w:szCs w:val="1"/>
                <w:color w:val="auto"/>
              </w:rPr>
            </w:pPr>
          </w:p>
        </w:tc>
      </w:tr>
      <w:tr>
        <w:trPr>
          <w:trHeight w:val="126"/>
        </w:trPr>
        <w:tc>
          <w:tcPr>
            <w:tcW w:w="31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Unrealized gain (loss) on available-for-sale</w:t>
            </w:r>
          </w:p>
        </w:tc>
        <w:tc>
          <w:tcPr>
            <w:tcW w:w="150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780" w:type="dxa"/>
            <w:vAlign w:val="bottom"/>
            <w:vMerge w:val="restart"/>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vMerge w:val="restart"/>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vMerge w:val="restart"/>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vMerge w:val="restart"/>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0" w:type="dxa"/>
            <w:vAlign w:val="bottom"/>
          </w:tcPr>
          <w:p>
            <w:pPr>
              <w:spacing w:after="0"/>
              <w:rPr>
                <w:sz w:val="1"/>
                <w:szCs w:val="1"/>
                <w:color w:val="auto"/>
              </w:rPr>
            </w:pPr>
          </w:p>
        </w:tc>
      </w:tr>
      <w:tr>
        <w:trPr>
          <w:trHeight w:val="171"/>
        </w:trPr>
        <w:tc>
          <w:tcPr>
            <w:tcW w:w="3140" w:type="dxa"/>
            <w:vAlign w:val="bottom"/>
          </w:tcPr>
          <w:p>
            <w:pPr>
              <w:spacing w:after="0"/>
              <w:rPr>
                <w:sz w:val="20"/>
                <w:szCs w:val="20"/>
                <w:color w:val="auto"/>
              </w:rPr>
            </w:pPr>
            <w:r>
              <w:rPr>
                <w:rFonts w:ascii="Times New Roman" w:cs="Times New Roman" w:eastAsia="Times New Roman" w:hAnsi="Times New Roman"/>
                <w:sz w:val="14"/>
                <w:szCs w:val="14"/>
                <w:color w:val="auto"/>
              </w:rPr>
              <w:t>marketable securities</w:t>
            </w:r>
          </w:p>
        </w:tc>
        <w:tc>
          <w:tcPr>
            <w:tcW w:w="15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14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Shares directly withheld from employees for tax</w:t>
            </w:r>
          </w:p>
        </w:tc>
        <w:tc>
          <w:tcPr>
            <w:tcW w:w="1380" w:type="dxa"/>
            <w:vAlign w:val="bottom"/>
            <w:vMerge w:val="restart"/>
            <w:shd w:val="clear" w:color="auto" w:fill="CFF0FC"/>
          </w:tcPr>
          <w:p>
            <w:pPr>
              <w:jc w:val="right"/>
              <w:ind w:right="10"/>
              <w:spacing w:after="0"/>
              <w:rPr>
                <w:sz w:val="20"/>
                <w:szCs w:val="20"/>
                <w:color w:val="auto"/>
              </w:rPr>
            </w:pPr>
            <w:r>
              <w:rPr>
                <w:rFonts w:ascii="Times New Roman" w:cs="Times New Roman" w:eastAsia="Times New Roman" w:hAnsi="Times New Roman"/>
                <w:sz w:val="14"/>
                <w:szCs w:val="14"/>
                <w:color w:val="auto"/>
              </w:rPr>
              <w:t>(52,605)</w:t>
            </w:r>
          </w:p>
        </w:tc>
        <w:tc>
          <w:tcPr>
            <w:tcW w:w="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80" w:type="dxa"/>
            <w:vAlign w:val="bottom"/>
            <w:vMerge w:val="restart"/>
            <w:shd w:val="clear" w:color="auto" w:fill="CFF0FC"/>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80" w:type="dxa"/>
            <w:vAlign w:val="bottom"/>
            <w:vMerge w:val="restart"/>
            <w:shd w:val="clear" w:color="auto" w:fill="CFF0FC"/>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00" w:type="dxa"/>
            <w:vAlign w:val="bottom"/>
            <w:vMerge w:val="restart"/>
            <w:shd w:val="clear" w:color="auto" w:fill="CFF0FC"/>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20" w:type="dxa"/>
            <w:vAlign w:val="bottom"/>
            <w:vMerge w:val="restart"/>
            <w:shd w:val="clear" w:color="auto" w:fill="CFF0FC"/>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(401)</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(401)</w:t>
            </w:r>
          </w:p>
        </w:tc>
        <w:tc>
          <w:tcPr>
            <w:tcW w:w="0" w:type="dxa"/>
            <w:vAlign w:val="bottom"/>
          </w:tcPr>
          <w:p>
            <w:pPr>
              <w:spacing w:after="0"/>
              <w:rPr>
                <w:sz w:val="1"/>
                <w:szCs w:val="1"/>
                <w:color w:val="auto"/>
              </w:rPr>
            </w:pPr>
          </w:p>
        </w:tc>
      </w:tr>
      <w:tr>
        <w:trPr>
          <w:trHeight w:val="158"/>
        </w:trPr>
        <w:tc>
          <w:tcPr>
            <w:tcW w:w="3140" w:type="dxa"/>
            <w:vAlign w:val="bottom"/>
            <w:tcBorders>
              <w:bottom w:val="single" w:sz="8" w:color="CFF0FC"/>
            </w:tcBorders>
            <w:shd w:val="clear" w:color="auto" w:fill="CFF0FC"/>
          </w:tcPr>
          <w:p>
            <w:pPr>
              <w:spacing w:after="0" w:line="158" w:lineRule="exact"/>
              <w:rPr>
                <w:sz w:val="20"/>
                <w:szCs w:val="20"/>
                <w:color w:val="auto"/>
              </w:rPr>
            </w:pPr>
            <w:r>
              <w:rPr>
                <w:rFonts w:ascii="Times New Roman" w:cs="Times New Roman" w:eastAsia="Times New Roman" w:hAnsi="Times New Roman"/>
                <w:sz w:val="14"/>
                <w:szCs w:val="14"/>
                <w:color w:val="auto"/>
              </w:rPr>
              <w:t>payment</w:t>
            </w:r>
          </w:p>
        </w:tc>
        <w:tc>
          <w:tcPr>
            <w:tcW w:w="1380" w:type="dxa"/>
            <w:vAlign w:val="bottom"/>
            <w:tcBorders>
              <w:bottom w:val="single" w:sz="8" w:color="auto"/>
            </w:tcBorders>
            <w:vMerge w:val="continue"/>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780" w:type="dxa"/>
            <w:vAlign w:val="bottom"/>
            <w:tcBorders>
              <w:bottom w:val="single" w:sz="8" w:color="auto"/>
            </w:tcBorders>
            <w:vMerge w:val="continue"/>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880" w:type="dxa"/>
            <w:vAlign w:val="bottom"/>
            <w:tcBorders>
              <w:bottom w:val="single" w:sz="8" w:color="auto"/>
            </w:tcBorders>
            <w:vMerge w:val="continue"/>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900" w:type="dxa"/>
            <w:vAlign w:val="bottom"/>
            <w:tcBorders>
              <w:bottom w:val="single" w:sz="8" w:color="auto"/>
            </w:tcBorders>
            <w:vMerge w:val="continue"/>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1020" w:type="dxa"/>
            <w:vAlign w:val="bottom"/>
            <w:tcBorders>
              <w:bottom w:val="single" w:sz="8" w:color="auto"/>
            </w:tcBorders>
            <w:vMerge w:val="continue"/>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860" w:type="dxa"/>
            <w:vAlign w:val="bottom"/>
            <w:tcBorders>
              <w:bottom w:val="single" w:sz="8" w:color="auto"/>
            </w:tcBorders>
            <w:vMerge w:val="continue"/>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920" w:type="dxa"/>
            <w:vAlign w:val="bottom"/>
            <w:tcBorders>
              <w:bottom w:val="single" w:sz="8" w:color="auto"/>
            </w:tcBorders>
            <w:vMerge w:val="continue"/>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14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Balances at March 31, 2025</w:t>
            </w:r>
          </w:p>
        </w:tc>
        <w:tc>
          <w:tcPr>
            <w:tcW w:w="1380" w:type="dxa"/>
            <w:vAlign w:val="bottom"/>
            <w:tcBorders>
              <w:bottom w:val="single" w:sz="8" w:color="auto"/>
            </w:tcBorders>
          </w:tcPr>
          <w:p>
            <w:pPr>
              <w:jc w:val="right"/>
              <w:ind w:right="70"/>
              <w:spacing w:after="0" w:line="129" w:lineRule="exact"/>
              <w:rPr>
                <w:sz w:val="20"/>
                <w:szCs w:val="20"/>
                <w:color w:val="auto"/>
              </w:rPr>
            </w:pPr>
            <w:r>
              <w:rPr>
                <w:rFonts w:ascii="Times New Roman" w:cs="Times New Roman" w:eastAsia="Times New Roman" w:hAnsi="Times New Roman"/>
                <w:sz w:val="14"/>
                <w:szCs w:val="14"/>
                <w:color w:val="auto"/>
              </w:rPr>
              <w:t>62,891,506</w:t>
            </w:r>
          </w:p>
        </w:tc>
        <w:tc>
          <w:tcPr>
            <w:tcW w:w="120" w:type="dxa"/>
            <w:vAlign w:val="bottom"/>
          </w:tcPr>
          <w:p>
            <w:pPr>
              <w:spacing w:after="0"/>
              <w:rPr>
                <w:sz w:val="12"/>
                <w:szCs w:val="12"/>
                <w:color w:val="auto"/>
              </w:rPr>
            </w:pPr>
          </w:p>
        </w:tc>
        <w:tc>
          <w:tcPr>
            <w:tcW w:w="1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tcPr>
          <w:p>
            <w:pPr>
              <w:jc w:val="right"/>
              <w:ind w:right="69"/>
              <w:spacing w:after="0" w:line="129" w:lineRule="exact"/>
              <w:rPr>
                <w:sz w:val="20"/>
                <w:szCs w:val="20"/>
                <w:color w:val="auto"/>
              </w:rPr>
            </w:pPr>
            <w:r>
              <w:rPr>
                <w:rFonts w:ascii="Times New Roman" w:cs="Times New Roman" w:eastAsia="Times New Roman" w:hAnsi="Times New Roman"/>
                <w:sz w:val="14"/>
                <w:szCs w:val="14"/>
                <w:color w:val="auto"/>
              </w:rPr>
              <w:t>63</w:t>
            </w:r>
          </w:p>
        </w:tc>
        <w:tc>
          <w:tcPr>
            <w:tcW w:w="120" w:type="dxa"/>
            <w:vAlign w:val="bottom"/>
          </w:tcPr>
          <w:p>
            <w:pPr>
              <w:spacing w:after="0"/>
              <w:rPr>
                <w:sz w:val="12"/>
                <w:szCs w:val="12"/>
                <w:color w:val="auto"/>
              </w:rPr>
            </w:pPr>
          </w:p>
        </w:tc>
        <w:tc>
          <w:tcPr>
            <w:tcW w:w="1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ind w:right="71"/>
              <w:spacing w:after="0" w:line="129" w:lineRule="exact"/>
              <w:rPr>
                <w:sz w:val="20"/>
                <w:szCs w:val="20"/>
                <w:color w:val="auto"/>
              </w:rPr>
            </w:pPr>
            <w:r>
              <w:rPr>
                <w:rFonts w:ascii="Times New Roman" w:cs="Times New Roman" w:eastAsia="Times New Roman" w:hAnsi="Times New Roman"/>
                <w:sz w:val="14"/>
                <w:szCs w:val="14"/>
                <w:color w:val="auto"/>
              </w:rPr>
              <w:t>311,815</w:t>
            </w:r>
          </w:p>
        </w:tc>
        <w:tc>
          <w:tcPr>
            <w:tcW w:w="100" w:type="dxa"/>
            <w:vAlign w:val="bottom"/>
          </w:tcPr>
          <w:p>
            <w:pPr>
              <w:spacing w:after="0"/>
              <w:rPr>
                <w:sz w:val="12"/>
                <w:szCs w:val="12"/>
                <w:color w:val="auto"/>
              </w:rPr>
            </w:pPr>
          </w:p>
        </w:tc>
        <w:tc>
          <w:tcPr>
            <w:tcW w:w="1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(205,912)</w:t>
            </w:r>
          </w:p>
        </w:tc>
        <w:tc>
          <w:tcPr>
            <w:tcW w:w="100" w:type="dxa"/>
            <w:vAlign w:val="bottom"/>
          </w:tcPr>
          <w:p>
            <w:pPr>
              <w:spacing w:after="0"/>
              <w:rPr>
                <w:sz w:val="12"/>
                <w:szCs w:val="12"/>
                <w:color w:val="auto"/>
              </w:rPr>
            </w:pPr>
          </w:p>
        </w:tc>
        <w:tc>
          <w:tcPr>
            <w:tcW w:w="1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ind w:right="52"/>
              <w:spacing w:after="0" w:line="129" w:lineRule="exact"/>
              <w:rPr>
                <w:sz w:val="20"/>
                <w:szCs w:val="20"/>
                <w:color w:val="auto"/>
              </w:rPr>
            </w:pPr>
            <w:r>
              <w:rPr>
                <w:rFonts w:ascii="Times New Roman" w:cs="Times New Roman" w:eastAsia="Times New Roman" w:hAnsi="Times New Roman"/>
                <w:sz w:val="14"/>
                <w:szCs w:val="14"/>
                <w:color w:val="auto"/>
              </w:rPr>
              <w:t>57</w:t>
            </w:r>
          </w:p>
        </w:tc>
        <w:tc>
          <w:tcPr>
            <w:tcW w:w="100" w:type="dxa"/>
            <w:vAlign w:val="bottom"/>
          </w:tcPr>
          <w:p>
            <w:pPr>
              <w:spacing w:after="0"/>
              <w:rPr>
                <w:sz w:val="12"/>
                <w:szCs w:val="12"/>
                <w:color w:val="auto"/>
              </w:rPr>
            </w:pPr>
          </w:p>
        </w:tc>
        <w:tc>
          <w:tcPr>
            <w:tcW w:w="1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(682)</w:t>
            </w:r>
          </w:p>
        </w:tc>
        <w:tc>
          <w:tcPr>
            <w:tcW w:w="100" w:type="dxa"/>
            <w:vAlign w:val="bottom"/>
          </w:tcPr>
          <w:p>
            <w:pPr>
              <w:spacing w:after="0"/>
              <w:rPr>
                <w:sz w:val="12"/>
                <w:szCs w:val="12"/>
                <w:color w:val="auto"/>
              </w:rPr>
            </w:pPr>
          </w:p>
        </w:tc>
        <w:tc>
          <w:tcPr>
            <w:tcW w:w="1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tcPr>
          <w:p>
            <w:pPr>
              <w:jc w:val="right"/>
              <w:ind w:right="51"/>
              <w:spacing w:after="0" w:line="129" w:lineRule="exact"/>
              <w:rPr>
                <w:sz w:val="20"/>
                <w:szCs w:val="20"/>
                <w:color w:val="auto"/>
              </w:rPr>
            </w:pPr>
            <w:r>
              <w:rPr>
                <w:rFonts w:ascii="Times New Roman" w:cs="Times New Roman" w:eastAsia="Times New Roman" w:hAnsi="Times New Roman"/>
                <w:sz w:val="14"/>
                <w:szCs w:val="14"/>
                <w:color w:val="auto"/>
              </w:rPr>
              <w:t>105,341</w:t>
            </w: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-1370965</wp:posOffset>
            </wp:positionV>
            <wp:extent cx="7683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3528060</wp:posOffset>
            </wp:positionH>
            <wp:positionV relativeFrom="paragraph">
              <wp:posOffset>-1370965</wp:posOffset>
            </wp:positionV>
            <wp:extent cx="7683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-1370965</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-1370965</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-1370965</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-1370965</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2868295</wp:posOffset>
            </wp:positionH>
            <wp:positionV relativeFrom="paragraph">
              <wp:posOffset>-128270</wp:posOffset>
            </wp:positionV>
            <wp:extent cx="7683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3528060</wp:posOffset>
            </wp:positionH>
            <wp:positionV relativeFrom="paragraph">
              <wp:posOffset>-128270</wp:posOffset>
            </wp:positionV>
            <wp:extent cx="7683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-128270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-128270</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-128270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-128270</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8" w:name="page9"/>
    <w:bookmarkEnd w:id="8"/>
    <w:p>
      <w:pPr>
        <w:ind w:left="4460"/>
        <w:spacing w:after="0"/>
        <w:rPr>
          <w:sz w:val="20"/>
          <w:szCs w:val="20"/>
          <w:color w:val="auto"/>
        </w:rPr>
      </w:pPr>
      <w:r>
        <w:rPr>
          <w:rFonts w:ascii="Times New Roman" w:cs="Times New Roman" w:eastAsia="Times New Roman" w:hAnsi="Times New Roman"/>
          <w:sz w:val="18"/>
          <w:szCs w:val="18"/>
          <w:b w:val="1"/>
          <w:bCs w:val="1"/>
          <w:color w:val="auto"/>
        </w:rPr>
        <w:t>Treace Medical Concepts, Inc.</w:t>
      </w:r>
    </w:p>
    <w:p>
      <w:pPr>
        <w:spacing w:after="0" w:line="31"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Condensed Statements of Cash Flows</w:t>
      </w:r>
    </w:p>
    <w:p>
      <w:pPr>
        <w:spacing w:after="0" w:line="9"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616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2860" w:type="dxa"/>
            <w:vAlign w:val="bottom"/>
            <w:tcBorders>
              <w:bottom w:val="single" w:sz="8" w:color="auto"/>
            </w:tcBorders>
            <w:gridSpan w:val="4"/>
          </w:tcPr>
          <w:p>
            <w:pPr>
              <w:jc w:val="right"/>
              <w:ind w:right="228"/>
              <w:spacing w:after="0"/>
              <w:rPr>
                <w:sz w:val="20"/>
                <w:szCs w:val="20"/>
                <w:color w:val="auto"/>
              </w:rPr>
            </w:pPr>
            <w:r>
              <w:rPr>
                <w:rFonts w:ascii="Times New Roman" w:cs="Times New Roman" w:eastAsia="Times New Roman" w:hAnsi="Times New Roman"/>
                <w:sz w:val="13"/>
                <w:szCs w:val="13"/>
                <w:b w:val="1"/>
                <w:bCs w:val="1"/>
                <w:color w:val="auto"/>
              </w:rPr>
              <w:t>Three Months Ended March 31,</w:t>
            </w:r>
          </w:p>
        </w:tc>
        <w:tc>
          <w:tcPr>
            <w:tcW w:w="660" w:type="dxa"/>
            <w:vAlign w:val="bottom"/>
            <w:tcBorders>
              <w:bottom w:val="single" w:sz="8" w:color="auto"/>
            </w:tcBorders>
          </w:tcPr>
          <w:p>
            <w:pPr>
              <w:spacing w:after="0"/>
              <w:rPr>
                <w:sz w:val="13"/>
                <w:szCs w:val="13"/>
                <w:color w:val="auto"/>
              </w:rPr>
            </w:pPr>
          </w:p>
        </w:tc>
      </w:tr>
      <w:tr>
        <w:trPr>
          <w:trHeight w:val="128"/>
        </w:trPr>
        <w:tc>
          <w:tcPr>
            <w:tcW w:w="616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020" w:type="dxa"/>
            <w:vAlign w:val="bottom"/>
          </w:tcPr>
          <w:p>
            <w:pPr>
              <w:jc w:val="right"/>
              <w:ind w:right="59"/>
              <w:spacing w:after="0" w:line="129" w:lineRule="exact"/>
              <w:rPr>
                <w:sz w:val="20"/>
                <w:szCs w:val="20"/>
                <w:color w:val="auto"/>
              </w:rPr>
            </w:pPr>
            <w:r>
              <w:rPr>
                <w:rFonts w:ascii="Times New Roman" w:cs="Times New Roman" w:eastAsia="Times New Roman" w:hAnsi="Times New Roman"/>
                <w:sz w:val="13"/>
                <w:szCs w:val="13"/>
                <w:b w:val="1"/>
                <w:bCs w:val="1"/>
                <w:color w:val="auto"/>
              </w:rPr>
              <w:t>2026</w:t>
            </w:r>
          </w:p>
        </w:tc>
        <w:tc>
          <w:tcPr>
            <w:tcW w:w="660" w:type="dxa"/>
            <w:vAlign w:val="bottom"/>
          </w:tcPr>
          <w:p>
            <w:pPr>
              <w:spacing w:after="0"/>
              <w:rPr>
                <w:sz w:val="11"/>
                <w:szCs w:val="11"/>
                <w:color w:val="auto"/>
              </w:rPr>
            </w:pPr>
          </w:p>
        </w:tc>
        <w:tc>
          <w:tcPr>
            <w:tcW w:w="1180" w:type="dxa"/>
            <w:vAlign w:val="bottom"/>
            <w:gridSpan w:val="2"/>
          </w:tcPr>
          <w:p>
            <w:pPr>
              <w:jc w:val="right"/>
              <w:ind w:right="48"/>
              <w:spacing w:after="0" w:line="129" w:lineRule="exact"/>
              <w:rPr>
                <w:sz w:val="20"/>
                <w:szCs w:val="20"/>
                <w:color w:val="auto"/>
              </w:rPr>
            </w:pPr>
            <w:r>
              <w:rPr>
                <w:rFonts w:ascii="Times New Roman" w:cs="Times New Roman" w:eastAsia="Times New Roman" w:hAnsi="Times New Roman"/>
                <w:sz w:val="13"/>
                <w:szCs w:val="13"/>
                <w:b w:val="1"/>
                <w:bCs w:val="1"/>
                <w:color w:val="auto"/>
              </w:rPr>
              <w:t>2025</w:t>
            </w:r>
          </w:p>
        </w:tc>
        <w:tc>
          <w:tcPr>
            <w:tcW w:w="660" w:type="dxa"/>
            <w:vAlign w:val="bottom"/>
          </w:tcPr>
          <w:p>
            <w:pPr>
              <w:spacing w:after="0"/>
              <w:rPr>
                <w:sz w:val="11"/>
                <w:szCs w:val="11"/>
                <w:color w:val="auto"/>
              </w:rPr>
            </w:pPr>
          </w:p>
        </w:tc>
      </w:tr>
      <w:tr>
        <w:trPr>
          <w:trHeight w:val="142"/>
        </w:trPr>
        <w:tc>
          <w:tcPr>
            <w:tcW w:w="616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1560" w:type="dxa"/>
            <w:vAlign w:val="bottom"/>
            <w:shd w:val="clear" w:color="auto" w:fill="CFF0FC"/>
          </w:tcPr>
          <w:p>
            <w:pPr>
              <w:spacing w:after="0"/>
              <w:rPr>
                <w:sz w:val="12"/>
                <w:szCs w:val="12"/>
                <w:color w:val="auto"/>
              </w:rPr>
            </w:pPr>
          </w:p>
        </w:tc>
        <w:tc>
          <w:tcPr>
            <w:tcW w:w="1020" w:type="dxa"/>
            <w:vAlign w:val="bottom"/>
            <w:tcBorders>
              <w:top w:val="single" w:sz="8" w:color="auto"/>
            </w:tcBorders>
            <w:shd w:val="clear" w:color="auto" w:fill="CFF0FC"/>
          </w:tcPr>
          <w:p>
            <w:pPr>
              <w:spacing w:after="0"/>
              <w:rPr>
                <w:sz w:val="12"/>
                <w:szCs w:val="12"/>
                <w:color w:val="auto"/>
              </w:rPr>
            </w:pPr>
          </w:p>
        </w:tc>
        <w:tc>
          <w:tcPr>
            <w:tcW w:w="660" w:type="dxa"/>
            <w:vAlign w:val="bottom"/>
            <w:tcBorders>
              <w:top w:val="single" w:sz="8" w:color="auto"/>
            </w:tcBorders>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20" w:type="dxa"/>
            <w:vAlign w:val="bottom"/>
            <w:tcBorders>
              <w:top w:val="single" w:sz="8" w:color="auto"/>
            </w:tcBorders>
            <w:shd w:val="clear" w:color="auto" w:fill="CFF0FC"/>
          </w:tcPr>
          <w:p>
            <w:pPr>
              <w:spacing w:after="0"/>
              <w:rPr>
                <w:sz w:val="12"/>
                <w:szCs w:val="12"/>
                <w:color w:val="auto"/>
              </w:rPr>
            </w:pPr>
          </w:p>
        </w:tc>
        <w:tc>
          <w:tcPr>
            <w:tcW w:w="660" w:type="dxa"/>
            <w:vAlign w:val="bottom"/>
            <w:tcBorders>
              <w:top w:val="single" w:sz="8" w:color="auto"/>
            </w:tcBorders>
            <w:shd w:val="clear" w:color="auto" w:fill="CFF0FC"/>
          </w:tcPr>
          <w:p>
            <w:pPr>
              <w:spacing w:after="0"/>
              <w:rPr>
                <w:sz w:val="12"/>
                <w:szCs w:val="12"/>
                <w:color w:val="auto"/>
              </w:rPr>
            </w:pPr>
          </w:p>
        </w:tc>
      </w:tr>
      <w:tr>
        <w:trPr>
          <w:trHeight w:val="149"/>
        </w:trPr>
        <w:tc>
          <w:tcPr>
            <w:tcW w:w="61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2580" w:type="dxa"/>
            <w:vAlign w:val="bottom"/>
            <w:gridSpan w:val="2"/>
          </w:tcPr>
          <w:p>
            <w:pPr>
              <w:jc w:val="right"/>
              <w:ind w:right="899"/>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(17,961)</w:t>
            </w:r>
          </w:p>
        </w:tc>
        <w:tc>
          <w:tcPr>
            <w:tcW w:w="1180" w:type="dxa"/>
            <w:vAlign w:val="bottom"/>
            <w:gridSpan w:val="2"/>
          </w:tcPr>
          <w:p>
            <w:pPr>
              <w:jc w:val="right"/>
              <w:ind w:right="8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(15,922)</w:t>
            </w:r>
          </w:p>
        </w:tc>
      </w:tr>
      <w:tr>
        <w:trPr>
          <w:trHeight w:val="126"/>
        </w:trPr>
        <w:tc>
          <w:tcPr>
            <w:tcW w:w="616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Adjustments to reconcile net loss to net cash provided by (used in) operating</w:t>
            </w:r>
          </w:p>
        </w:tc>
        <w:tc>
          <w:tcPr>
            <w:tcW w:w="1560" w:type="dxa"/>
            <w:vAlign w:val="bottom"/>
            <w:shd w:val="clear" w:color="auto" w:fill="CFF0FC"/>
          </w:tcPr>
          <w:p>
            <w:pPr>
              <w:spacing w:after="0"/>
              <w:rPr>
                <w:sz w:val="10"/>
                <w:szCs w:val="10"/>
                <w:color w:val="auto"/>
              </w:rPr>
            </w:pPr>
          </w:p>
        </w:tc>
        <w:tc>
          <w:tcPr>
            <w:tcW w:w="102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02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r>
      <w:tr>
        <w:trPr>
          <w:trHeight w:val="171"/>
        </w:trPr>
        <w:tc>
          <w:tcPr>
            <w:tcW w:w="61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activities</w:t>
            </w:r>
          </w:p>
        </w:tc>
        <w:tc>
          <w:tcPr>
            <w:tcW w:w="156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r>
      <w:tr>
        <w:trPr>
          <w:trHeight w:val="148"/>
        </w:trPr>
        <w:tc>
          <w:tcPr>
            <w:tcW w:w="616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Depreciation and amortization expense</w:t>
            </w:r>
          </w:p>
        </w:tc>
        <w:tc>
          <w:tcPr>
            <w:tcW w:w="15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899</w:t>
            </w: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2,461</w:t>
            </w:r>
          </w:p>
        </w:tc>
      </w:tr>
      <w:tr>
        <w:trPr>
          <w:trHeight w:val="148"/>
        </w:trPr>
        <w:tc>
          <w:tcPr>
            <w:tcW w:w="616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Provision for allowance for credit losses</w:t>
            </w:r>
          </w:p>
        </w:tc>
        <w:tc>
          <w:tcPr>
            <w:tcW w:w="156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66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112</w:t>
            </w:r>
          </w:p>
        </w:tc>
        <w:tc>
          <w:tcPr>
            <w:tcW w:w="16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66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500</w:t>
            </w:r>
          </w:p>
        </w:tc>
      </w:tr>
      <w:tr>
        <w:trPr>
          <w:trHeight w:val="148"/>
        </w:trPr>
        <w:tc>
          <w:tcPr>
            <w:tcW w:w="616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Share-based compensation expense</w:t>
            </w:r>
          </w:p>
        </w:tc>
        <w:tc>
          <w:tcPr>
            <w:tcW w:w="15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8,034</w:t>
            </w: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8,693</w:t>
            </w:r>
          </w:p>
        </w:tc>
      </w:tr>
      <w:tr>
        <w:trPr>
          <w:trHeight w:val="149"/>
        </w:trPr>
        <w:tc>
          <w:tcPr>
            <w:tcW w:w="616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Non-cash lease expense</w:t>
            </w:r>
          </w:p>
        </w:tc>
        <w:tc>
          <w:tcPr>
            <w:tcW w:w="156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66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571</w:t>
            </w:r>
          </w:p>
        </w:tc>
        <w:tc>
          <w:tcPr>
            <w:tcW w:w="16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66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578</w:t>
            </w:r>
          </w:p>
        </w:tc>
      </w:tr>
      <w:tr>
        <w:trPr>
          <w:trHeight w:val="148"/>
        </w:trPr>
        <w:tc>
          <w:tcPr>
            <w:tcW w:w="616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Amortization of debt issuance costs</w:t>
            </w:r>
          </w:p>
        </w:tc>
        <w:tc>
          <w:tcPr>
            <w:tcW w:w="15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262</w:t>
            </w: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74</w:t>
            </w:r>
          </w:p>
        </w:tc>
      </w:tr>
      <w:tr>
        <w:trPr>
          <w:trHeight w:val="148"/>
        </w:trPr>
        <w:tc>
          <w:tcPr>
            <w:tcW w:w="616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Amortization (accretion) of premium (discount) on marketable securities, net</w:t>
            </w:r>
          </w:p>
        </w:tc>
        <w:tc>
          <w:tcPr>
            <w:tcW w:w="156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66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5</w:t>
            </w:r>
          </w:p>
        </w:tc>
        <w:tc>
          <w:tcPr>
            <w:tcW w:w="16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(77)</w:t>
            </w:r>
          </w:p>
        </w:tc>
      </w:tr>
      <w:tr>
        <w:trPr>
          <w:trHeight w:val="148"/>
        </w:trPr>
        <w:tc>
          <w:tcPr>
            <w:tcW w:w="616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Other, net</w:t>
            </w:r>
          </w:p>
        </w:tc>
        <w:tc>
          <w:tcPr>
            <w:tcW w:w="15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587</w:t>
            </w: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187</w:t>
            </w:r>
          </w:p>
        </w:tc>
      </w:tr>
      <w:tr>
        <w:trPr>
          <w:trHeight w:val="148"/>
        </w:trPr>
        <w:tc>
          <w:tcPr>
            <w:tcW w:w="61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Net changes in operating assets and liabilities, net of acquisitions</w:t>
            </w:r>
          </w:p>
        </w:tc>
        <w:tc>
          <w:tcPr>
            <w:tcW w:w="156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r>
      <w:tr>
        <w:trPr>
          <w:trHeight w:val="149"/>
        </w:trPr>
        <w:tc>
          <w:tcPr>
            <w:tcW w:w="616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Accounts receivable</w:t>
            </w:r>
          </w:p>
        </w:tc>
        <w:tc>
          <w:tcPr>
            <w:tcW w:w="15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11,685</w:t>
            </w: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9,289</w:t>
            </w:r>
          </w:p>
        </w:tc>
      </w:tr>
      <w:tr>
        <w:trPr>
          <w:trHeight w:val="148"/>
        </w:trPr>
        <w:tc>
          <w:tcPr>
            <w:tcW w:w="616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Inventory</w:t>
            </w:r>
          </w:p>
        </w:tc>
        <w:tc>
          <w:tcPr>
            <w:tcW w:w="156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(335)</w:t>
            </w:r>
          </w:p>
        </w:tc>
        <w:tc>
          <w:tcPr>
            <w:tcW w:w="16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66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1,315</w:t>
            </w:r>
          </w:p>
        </w:tc>
      </w:tr>
      <w:tr>
        <w:trPr>
          <w:trHeight w:val="148"/>
        </w:trPr>
        <w:tc>
          <w:tcPr>
            <w:tcW w:w="616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Prepaid expenses and other assets</w:t>
            </w:r>
          </w:p>
        </w:tc>
        <w:tc>
          <w:tcPr>
            <w:tcW w:w="15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608</w:t>
            </w: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1,369</w:t>
            </w:r>
          </w:p>
        </w:tc>
      </w:tr>
      <w:tr>
        <w:trPr>
          <w:trHeight w:val="148"/>
        </w:trPr>
        <w:tc>
          <w:tcPr>
            <w:tcW w:w="616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Other non-current assets</w:t>
            </w:r>
          </w:p>
        </w:tc>
        <w:tc>
          <w:tcPr>
            <w:tcW w:w="156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(293)</w:t>
            </w:r>
          </w:p>
        </w:tc>
        <w:tc>
          <w:tcPr>
            <w:tcW w:w="16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(76)</w:t>
            </w:r>
          </w:p>
        </w:tc>
      </w:tr>
      <w:tr>
        <w:trPr>
          <w:trHeight w:val="148"/>
        </w:trPr>
        <w:tc>
          <w:tcPr>
            <w:tcW w:w="616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Operating lease liabilities</w:t>
            </w:r>
          </w:p>
        </w:tc>
        <w:tc>
          <w:tcPr>
            <w:tcW w:w="15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(854)</w:t>
            </w: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(785)</w:t>
            </w:r>
          </w:p>
        </w:tc>
      </w:tr>
      <w:tr>
        <w:trPr>
          <w:trHeight w:val="148"/>
        </w:trPr>
        <w:tc>
          <w:tcPr>
            <w:tcW w:w="616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156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66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6,811</w:t>
            </w:r>
          </w:p>
        </w:tc>
        <w:tc>
          <w:tcPr>
            <w:tcW w:w="16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66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2,701</w:t>
            </w:r>
          </w:p>
        </w:tc>
      </w:tr>
      <w:tr>
        <w:trPr>
          <w:trHeight w:val="149"/>
        </w:trPr>
        <w:tc>
          <w:tcPr>
            <w:tcW w:w="616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Accrued liabilities</w:t>
            </w:r>
          </w:p>
        </w:tc>
        <w:tc>
          <w:tcPr>
            <w:tcW w:w="15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(3,126)</w:t>
            </w: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(6,166)</w:t>
            </w:r>
          </w:p>
        </w:tc>
      </w:tr>
      <w:tr>
        <w:trPr>
          <w:trHeight w:val="148"/>
        </w:trPr>
        <w:tc>
          <w:tcPr>
            <w:tcW w:w="6160" w:type="dxa"/>
            <w:vAlign w:val="bottom"/>
            <w:tcBorders>
              <w:bottom w:val="single" w:sz="8" w:color="CFF0FC"/>
            </w:tcBorders>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Other, net</w:t>
            </w:r>
          </w:p>
        </w:tc>
        <w:tc>
          <w:tcPr>
            <w:tcW w:w="1560" w:type="dxa"/>
            <w:vAlign w:val="bottom"/>
            <w:tcBorders>
              <w:bottom w:val="single" w:sz="8" w:color="CFF0FC"/>
            </w:tcBorders>
            <w:shd w:val="clear" w:color="auto" w:fill="CFF0FC"/>
          </w:tcPr>
          <w:p>
            <w:pPr>
              <w:spacing w:after="0"/>
              <w:rPr>
                <w:sz w:val="12"/>
                <w:szCs w:val="12"/>
                <w:color w:val="auto"/>
              </w:rPr>
            </w:pPr>
          </w:p>
        </w:tc>
        <w:tc>
          <w:tcPr>
            <w:tcW w:w="1020" w:type="dxa"/>
            <w:vAlign w:val="bottom"/>
            <w:tcBorders>
              <w:bottom w:val="single" w:sz="8" w:color="auto"/>
            </w:tcBorders>
            <w:shd w:val="clear" w:color="auto" w:fill="CFF0FC"/>
          </w:tcPr>
          <w:p>
            <w:pPr>
              <w:spacing w:after="0"/>
              <w:rPr>
                <w:sz w:val="12"/>
                <w:szCs w:val="12"/>
                <w:color w:val="auto"/>
              </w:rPr>
            </w:pPr>
          </w:p>
        </w:tc>
        <w:tc>
          <w:tcPr>
            <w:tcW w:w="660" w:type="dxa"/>
            <w:vAlign w:val="bottom"/>
            <w:tcBorders>
              <w:bottom w:val="single" w:sz="8" w:color="auto"/>
            </w:tcBorders>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235</w:t>
            </w:r>
          </w:p>
        </w:tc>
        <w:tc>
          <w:tcPr>
            <w:tcW w:w="160" w:type="dxa"/>
            <w:vAlign w:val="bottom"/>
            <w:tcBorders>
              <w:bottom w:val="single" w:sz="8" w:color="CFF0FC"/>
            </w:tcBorders>
            <w:shd w:val="clear" w:color="auto" w:fill="CFF0FC"/>
          </w:tcPr>
          <w:p>
            <w:pPr>
              <w:spacing w:after="0"/>
              <w:rPr>
                <w:sz w:val="12"/>
                <w:szCs w:val="12"/>
                <w:color w:val="auto"/>
              </w:rPr>
            </w:pPr>
          </w:p>
        </w:tc>
        <w:tc>
          <w:tcPr>
            <w:tcW w:w="1020" w:type="dxa"/>
            <w:vAlign w:val="bottom"/>
            <w:tcBorders>
              <w:bottom w:val="single" w:sz="8" w:color="auto"/>
            </w:tcBorders>
            <w:shd w:val="clear" w:color="auto" w:fill="CFF0FC"/>
          </w:tcPr>
          <w:p>
            <w:pPr>
              <w:spacing w:after="0"/>
              <w:rPr>
                <w:sz w:val="12"/>
                <w:szCs w:val="12"/>
                <w:color w:val="auto"/>
              </w:rPr>
            </w:pPr>
          </w:p>
        </w:tc>
        <w:tc>
          <w:tcPr>
            <w:tcW w:w="660" w:type="dxa"/>
            <w:vAlign w:val="bottom"/>
            <w:tcBorders>
              <w:bottom w:val="single" w:sz="8" w:color="auto"/>
            </w:tcBorders>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57</w:t>
            </w:r>
          </w:p>
        </w:tc>
      </w:tr>
      <w:tr>
        <w:trPr>
          <w:trHeight w:val="142"/>
        </w:trPr>
        <w:tc>
          <w:tcPr>
            <w:tcW w:w="6160" w:type="dxa"/>
            <w:vAlign w:val="bottom"/>
          </w:tcPr>
          <w:p>
            <w:pPr>
              <w:ind w:left="280"/>
              <w:spacing w:after="0" w:line="142" w:lineRule="exact"/>
              <w:rPr>
                <w:sz w:val="20"/>
                <w:szCs w:val="20"/>
                <w:color w:val="auto"/>
              </w:rPr>
            </w:pPr>
            <w:r>
              <w:rPr>
                <w:rFonts w:ascii="Times New Roman" w:cs="Times New Roman" w:eastAsia="Times New Roman" w:hAnsi="Times New Roman"/>
                <w:sz w:val="14"/>
                <w:szCs w:val="14"/>
                <w:color w:val="auto"/>
              </w:rPr>
              <w:t>Net cash provided by (used in) operating activities</w:t>
            </w:r>
          </w:p>
        </w:tc>
        <w:tc>
          <w:tcPr>
            <w:tcW w:w="1560" w:type="dxa"/>
            <w:vAlign w:val="bottom"/>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7,240</w:t>
            </w:r>
          </w:p>
        </w:tc>
        <w:tc>
          <w:tcPr>
            <w:tcW w:w="160" w:type="dxa"/>
            <w:vAlign w:val="bottom"/>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4,198</w:t>
            </w:r>
          </w:p>
        </w:tc>
      </w:tr>
      <w:tr>
        <w:trPr>
          <w:trHeight w:val="142"/>
        </w:trPr>
        <w:tc>
          <w:tcPr>
            <w:tcW w:w="61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60" w:type="dxa"/>
            <w:vAlign w:val="bottom"/>
          </w:tcPr>
          <w:p>
            <w:pPr>
              <w:spacing w:after="0"/>
              <w:rPr>
                <w:sz w:val="12"/>
                <w:szCs w:val="12"/>
                <w:color w:val="auto"/>
              </w:rPr>
            </w:pPr>
          </w:p>
        </w:tc>
      </w:tr>
      <w:tr>
        <w:trPr>
          <w:trHeight w:val="148"/>
        </w:trPr>
        <w:tc>
          <w:tcPr>
            <w:tcW w:w="61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156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r>
      <w:tr>
        <w:trPr>
          <w:trHeight w:val="148"/>
        </w:trPr>
        <w:tc>
          <w:tcPr>
            <w:tcW w:w="616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Purchases of available-for-sale marketable securities</w:t>
            </w:r>
          </w:p>
        </w:tc>
        <w:tc>
          <w:tcPr>
            <w:tcW w:w="15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(16,071)</w:t>
            </w: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(15,090)</w:t>
            </w:r>
          </w:p>
        </w:tc>
      </w:tr>
      <w:tr>
        <w:trPr>
          <w:trHeight w:val="148"/>
        </w:trPr>
        <w:tc>
          <w:tcPr>
            <w:tcW w:w="616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Sales and maturities of available-for-sale marketable securities</w:t>
            </w:r>
          </w:p>
        </w:tc>
        <w:tc>
          <w:tcPr>
            <w:tcW w:w="156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66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11,317</w:t>
            </w:r>
          </w:p>
        </w:tc>
        <w:tc>
          <w:tcPr>
            <w:tcW w:w="16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66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16,739</w:t>
            </w:r>
          </w:p>
        </w:tc>
      </w:tr>
      <w:tr>
        <w:trPr>
          <w:trHeight w:val="148"/>
        </w:trPr>
        <w:tc>
          <w:tcPr>
            <w:tcW w:w="6160" w:type="dxa"/>
            <w:vAlign w:val="bottom"/>
            <w:tcBorders>
              <w:bottom w:val="single" w:sz="8" w:color="CFF0FC"/>
            </w:tcBorders>
          </w:tcPr>
          <w:p>
            <w:pPr>
              <w:ind w:left="140"/>
              <w:spacing w:after="0" w:line="149" w:lineRule="exact"/>
              <w:rPr>
                <w:sz w:val="20"/>
                <w:szCs w:val="20"/>
                <w:color w:val="auto"/>
              </w:rPr>
            </w:pPr>
            <w:r>
              <w:rPr>
                <w:rFonts w:ascii="Times New Roman" w:cs="Times New Roman" w:eastAsia="Times New Roman" w:hAnsi="Times New Roman"/>
                <w:sz w:val="14"/>
                <w:szCs w:val="14"/>
                <w:color w:val="auto"/>
              </w:rPr>
              <w:t>Purchases of property and equipment</w:t>
            </w:r>
          </w:p>
        </w:tc>
        <w:tc>
          <w:tcPr>
            <w:tcW w:w="1560" w:type="dxa"/>
            <w:vAlign w:val="bottom"/>
            <w:tcBorders>
              <w:bottom w:val="single" w:sz="8" w:color="CFF0FC"/>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(3,062)</w:t>
            </w:r>
          </w:p>
        </w:tc>
        <w:tc>
          <w:tcPr>
            <w:tcW w:w="160" w:type="dxa"/>
            <w:vAlign w:val="bottom"/>
            <w:tcBorders>
              <w:bottom w:val="single" w:sz="8" w:color="CFF0FC"/>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(3,543)</w:t>
            </w:r>
          </w:p>
        </w:tc>
      </w:tr>
      <w:tr>
        <w:trPr>
          <w:trHeight w:val="142"/>
        </w:trPr>
        <w:tc>
          <w:tcPr>
            <w:tcW w:w="6160" w:type="dxa"/>
            <w:vAlign w:val="bottom"/>
            <w:tcBorders>
              <w:bottom w:val="single" w:sz="8" w:color="CFF0FC"/>
            </w:tcBorders>
            <w:shd w:val="clear" w:color="auto" w:fill="CFF0FC"/>
          </w:tcPr>
          <w:p>
            <w:pPr>
              <w:ind w:left="280"/>
              <w:spacing w:after="0" w:line="142" w:lineRule="exact"/>
              <w:rPr>
                <w:sz w:val="20"/>
                <w:szCs w:val="20"/>
                <w:color w:val="auto"/>
              </w:rPr>
            </w:pPr>
            <w:r>
              <w:rPr>
                <w:rFonts w:ascii="Times New Roman" w:cs="Times New Roman" w:eastAsia="Times New Roman" w:hAnsi="Times New Roman"/>
                <w:sz w:val="14"/>
                <w:szCs w:val="14"/>
                <w:color w:val="auto"/>
              </w:rPr>
              <w:t>Net cash provided by (used in) investing activities</w:t>
            </w:r>
          </w:p>
        </w:tc>
        <w:tc>
          <w:tcPr>
            <w:tcW w:w="1560" w:type="dxa"/>
            <w:vAlign w:val="bottom"/>
            <w:tcBorders>
              <w:bottom w:val="single" w:sz="8" w:color="CFF0FC"/>
            </w:tcBorders>
            <w:shd w:val="clear" w:color="auto" w:fill="CFF0FC"/>
          </w:tcPr>
          <w:p>
            <w:pPr>
              <w:spacing w:after="0"/>
              <w:rPr>
                <w:sz w:val="12"/>
                <w:szCs w:val="12"/>
                <w:color w:val="auto"/>
              </w:rPr>
            </w:pPr>
          </w:p>
        </w:tc>
        <w:tc>
          <w:tcPr>
            <w:tcW w:w="1020" w:type="dxa"/>
            <w:vAlign w:val="bottom"/>
            <w:tcBorders>
              <w:bottom w:val="single" w:sz="8" w:color="auto"/>
            </w:tcBorders>
            <w:shd w:val="clear" w:color="auto" w:fill="CFF0FC"/>
          </w:tcPr>
          <w:p>
            <w:pPr>
              <w:spacing w:after="0"/>
              <w:rPr>
                <w:sz w:val="12"/>
                <w:szCs w:val="12"/>
                <w:color w:val="auto"/>
              </w:rPr>
            </w:pPr>
          </w:p>
        </w:tc>
        <w:tc>
          <w:tcPr>
            <w:tcW w:w="66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(7,816)</w:t>
            </w:r>
          </w:p>
        </w:tc>
        <w:tc>
          <w:tcPr>
            <w:tcW w:w="160" w:type="dxa"/>
            <w:vAlign w:val="bottom"/>
            <w:tcBorders>
              <w:bottom w:val="single" w:sz="8" w:color="CFF0FC"/>
            </w:tcBorders>
            <w:shd w:val="clear" w:color="auto" w:fill="CFF0FC"/>
          </w:tcPr>
          <w:p>
            <w:pPr>
              <w:spacing w:after="0"/>
              <w:rPr>
                <w:sz w:val="12"/>
                <w:szCs w:val="12"/>
                <w:color w:val="auto"/>
              </w:rPr>
            </w:pPr>
          </w:p>
        </w:tc>
        <w:tc>
          <w:tcPr>
            <w:tcW w:w="1020" w:type="dxa"/>
            <w:vAlign w:val="bottom"/>
            <w:tcBorders>
              <w:bottom w:val="single" w:sz="8" w:color="auto"/>
            </w:tcBorders>
            <w:shd w:val="clear" w:color="auto" w:fill="CFF0FC"/>
          </w:tcPr>
          <w:p>
            <w:pPr>
              <w:spacing w:after="0"/>
              <w:rPr>
                <w:sz w:val="12"/>
                <w:szCs w:val="12"/>
                <w:color w:val="auto"/>
              </w:rPr>
            </w:pPr>
          </w:p>
        </w:tc>
        <w:tc>
          <w:tcPr>
            <w:tcW w:w="66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(1,894)</w:t>
            </w:r>
          </w:p>
        </w:tc>
      </w:tr>
      <w:tr>
        <w:trPr>
          <w:trHeight w:val="290"/>
        </w:trPr>
        <w:tc>
          <w:tcPr>
            <w:tcW w:w="6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1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48"/>
        </w:trPr>
        <w:tc>
          <w:tcPr>
            <w:tcW w:w="616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Debt issuance costs</w:t>
            </w:r>
          </w:p>
        </w:tc>
        <w:tc>
          <w:tcPr>
            <w:tcW w:w="156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w:t>
            </w:r>
          </w:p>
        </w:tc>
        <w:tc>
          <w:tcPr>
            <w:tcW w:w="16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66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616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Payments on insurance premium financing</w:t>
            </w:r>
          </w:p>
        </w:tc>
        <w:tc>
          <w:tcPr>
            <w:tcW w:w="15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(466)</w:t>
            </w: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616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Proceeds from exercise of employee stock options</w:t>
            </w:r>
          </w:p>
        </w:tc>
        <w:tc>
          <w:tcPr>
            <w:tcW w:w="156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66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91</w:t>
            </w:r>
          </w:p>
        </w:tc>
        <w:tc>
          <w:tcPr>
            <w:tcW w:w="16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66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119</w:t>
            </w:r>
          </w:p>
        </w:tc>
      </w:tr>
      <w:tr>
        <w:trPr>
          <w:trHeight w:val="148"/>
        </w:trPr>
        <w:tc>
          <w:tcPr>
            <w:tcW w:w="616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Taxes from withheld shares</w:t>
            </w:r>
          </w:p>
        </w:tc>
        <w:tc>
          <w:tcPr>
            <w:tcW w:w="1560" w:type="dxa"/>
            <w:vAlign w:val="bottom"/>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(207)</w:t>
            </w:r>
          </w:p>
        </w:tc>
        <w:tc>
          <w:tcPr>
            <w:tcW w:w="160" w:type="dxa"/>
            <w:vAlign w:val="bottom"/>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(401)</w:t>
            </w:r>
          </w:p>
        </w:tc>
      </w:tr>
      <w:tr>
        <w:trPr>
          <w:trHeight w:val="142"/>
        </w:trPr>
        <w:tc>
          <w:tcPr>
            <w:tcW w:w="6160" w:type="dxa"/>
            <w:vAlign w:val="bottom"/>
            <w:tcBorders>
              <w:bottom w:val="single" w:sz="8" w:color="CFF0FC"/>
            </w:tcBorders>
            <w:shd w:val="clear" w:color="auto" w:fill="CFF0FC"/>
          </w:tcPr>
          <w:p>
            <w:pPr>
              <w:ind w:left="280"/>
              <w:spacing w:after="0" w:line="142" w:lineRule="exact"/>
              <w:rPr>
                <w:sz w:val="20"/>
                <w:szCs w:val="20"/>
                <w:color w:val="auto"/>
              </w:rPr>
            </w:pPr>
            <w:r>
              <w:rPr>
                <w:rFonts w:ascii="Times New Roman" w:cs="Times New Roman" w:eastAsia="Times New Roman" w:hAnsi="Times New Roman"/>
                <w:sz w:val="14"/>
                <w:szCs w:val="14"/>
                <w:color w:val="auto"/>
              </w:rPr>
              <w:t>Net cash provided by (used in) financing activities</w:t>
            </w:r>
          </w:p>
        </w:tc>
        <w:tc>
          <w:tcPr>
            <w:tcW w:w="1560" w:type="dxa"/>
            <w:vAlign w:val="bottom"/>
            <w:tcBorders>
              <w:bottom w:val="single" w:sz="8" w:color="CFF0FC"/>
            </w:tcBorders>
            <w:shd w:val="clear" w:color="auto" w:fill="CFF0FC"/>
          </w:tcPr>
          <w:p>
            <w:pPr>
              <w:spacing w:after="0"/>
              <w:rPr>
                <w:sz w:val="12"/>
                <w:szCs w:val="12"/>
                <w:color w:val="auto"/>
              </w:rPr>
            </w:pPr>
          </w:p>
        </w:tc>
        <w:tc>
          <w:tcPr>
            <w:tcW w:w="1020" w:type="dxa"/>
            <w:vAlign w:val="bottom"/>
            <w:tcBorders>
              <w:bottom w:val="single" w:sz="8" w:color="auto"/>
            </w:tcBorders>
            <w:shd w:val="clear" w:color="auto" w:fill="CFF0FC"/>
          </w:tcPr>
          <w:p>
            <w:pPr>
              <w:spacing w:after="0"/>
              <w:rPr>
                <w:sz w:val="12"/>
                <w:szCs w:val="12"/>
                <w:color w:val="auto"/>
              </w:rPr>
            </w:pPr>
          </w:p>
        </w:tc>
        <w:tc>
          <w:tcPr>
            <w:tcW w:w="66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(588)</w:t>
            </w:r>
          </w:p>
        </w:tc>
        <w:tc>
          <w:tcPr>
            <w:tcW w:w="160" w:type="dxa"/>
            <w:vAlign w:val="bottom"/>
            <w:tcBorders>
              <w:bottom w:val="single" w:sz="8" w:color="CFF0FC"/>
            </w:tcBorders>
            <w:shd w:val="clear" w:color="auto" w:fill="CFF0FC"/>
          </w:tcPr>
          <w:p>
            <w:pPr>
              <w:spacing w:after="0"/>
              <w:rPr>
                <w:sz w:val="12"/>
                <w:szCs w:val="12"/>
                <w:color w:val="auto"/>
              </w:rPr>
            </w:pPr>
          </w:p>
        </w:tc>
        <w:tc>
          <w:tcPr>
            <w:tcW w:w="1020" w:type="dxa"/>
            <w:vAlign w:val="bottom"/>
            <w:tcBorders>
              <w:bottom w:val="single" w:sz="8" w:color="auto"/>
            </w:tcBorders>
            <w:shd w:val="clear" w:color="auto" w:fill="CFF0FC"/>
          </w:tcPr>
          <w:p>
            <w:pPr>
              <w:spacing w:after="0"/>
              <w:rPr>
                <w:sz w:val="12"/>
                <w:szCs w:val="12"/>
                <w:color w:val="auto"/>
              </w:rPr>
            </w:pPr>
          </w:p>
        </w:tc>
        <w:tc>
          <w:tcPr>
            <w:tcW w:w="66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(282)</w:t>
            </w:r>
          </w:p>
        </w:tc>
      </w:tr>
      <w:tr>
        <w:trPr>
          <w:trHeight w:val="142"/>
        </w:trPr>
        <w:tc>
          <w:tcPr>
            <w:tcW w:w="6160" w:type="dxa"/>
            <w:vAlign w:val="bottom"/>
          </w:tcPr>
          <w:p>
            <w:pPr>
              <w:ind w:left="280"/>
              <w:spacing w:after="0" w:line="142" w:lineRule="exact"/>
              <w:rPr>
                <w:sz w:val="20"/>
                <w:szCs w:val="20"/>
                <w:color w:val="auto"/>
              </w:rPr>
            </w:pPr>
            <w:r>
              <w:rPr>
                <w:rFonts w:ascii="Times New Roman" w:cs="Times New Roman" w:eastAsia="Times New Roman" w:hAnsi="Times New Roman"/>
                <w:sz w:val="14"/>
                <w:szCs w:val="14"/>
                <w:color w:val="auto"/>
              </w:rPr>
              <w:t>Net increase (decrease) in cash and cash equivalents</w:t>
            </w:r>
          </w:p>
        </w:tc>
        <w:tc>
          <w:tcPr>
            <w:tcW w:w="1560" w:type="dxa"/>
            <w:vAlign w:val="bottom"/>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(1,164)</w:t>
            </w:r>
          </w:p>
        </w:tc>
        <w:tc>
          <w:tcPr>
            <w:tcW w:w="160" w:type="dxa"/>
            <w:vAlign w:val="bottom"/>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2,022</w:t>
            </w:r>
          </w:p>
        </w:tc>
      </w:tr>
      <w:tr>
        <w:trPr>
          <w:trHeight w:val="142"/>
        </w:trPr>
        <w:tc>
          <w:tcPr>
            <w:tcW w:w="6160" w:type="dxa"/>
            <w:vAlign w:val="bottom"/>
            <w:tcBorders>
              <w:bottom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Cash and cash equivalents at beginning of period</w:t>
            </w:r>
          </w:p>
        </w:tc>
        <w:tc>
          <w:tcPr>
            <w:tcW w:w="1560" w:type="dxa"/>
            <w:vAlign w:val="bottom"/>
            <w:tcBorders>
              <w:bottom w:val="single" w:sz="8" w:color="CFF0FC"/>
            </w:tcBorders>
            <w:shd w:val="clear" w:color="auto" w:fill="CFF0FC"/>
          </w:tcPr>
          <w:p>
            <w:pPr>
              <w:spacing w:after="0"/>
              <w:rPr>
                <w:sz w:val="12"/>
                <w:szCs w:val="12"/>
                <w:color w:val="auto"/>
              </w:rPr>
            </w:pPr>
          </w:p>
        </w:tc>
        <w:tc>
          <w:tcPr>
            <w:tcW w:w="1020" w:type="dxa"/>
            <w:vAlign w:val="bottom"/>
            <w:tcBorders>
              <w:bottom w:val="single" w:sz="8" w:color="auto"/>
            </w:tcBorders>
            <w:shd w:val="clear" w:color="auto" w:fill="CFF0FC"/>
          </w:tcPr>
          <w:p>
            <w:pPr>
              <w:spacing w:after="0"/>
              <w:rPr>
                <w:sz w:val="12"/>
                <w:szCs w:val="12"/>
                <w:color w:val="auto"/>
              </w:rPr>
            </w:pPr>
          </w:p>
        </w:tc>
        <w:tc>
          <w:tcPr>
            <w:tcW w:w="660" w:type="dxa"/>
            <w:vAlign w:val="bottom"/>
            <w:tcBorders>
              <w:bottom w:val="single" w:sz="8" w:color="auto"/>
            </w:tcBorders>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10,708</w:t>
            </w:r>
          </w:p>
        </w:tc>
        <w:tc>
          <w:tcPr>
            <w:tcW w:w="160" w:type="dxa"/>
            <w:vAlign w:val="bottom"/>
            <w:tcBorders>
              <w:bottom w:val="single" w:sz="8" w:color="CFF0FC"/>
            </w:tcBorders>
            <w:shd w:val="clear" w:color="auto" w:fill="CFF0FC"/>
          </w:tcPr>
          <w:p>
            <w:pPr>
              <w:spacing w:after="0"/>
              <w:rPr>
                <w:sz w:val="12"/>
                <w:szCs w:val="12"/>
                <w:color w:val="auto"/>
              </w:rPr>
            </w:pPr>
          </w:p>
        </w:tc>
        <w:tc>
          <w:tcPr>
            <w:tcW w:w="1020" w:type="dxa"/>
            <w:vAlign w:val="bottom"/>
            <w:tcBorders>
              <w:bottom w:val="single" w:sz="8" w:color="auto"/>
            </w:tcBorders>
            <w:shd w:val="clear" w:color="auto" w:fill="CFF0FC"/>
          </w:tcPr>
          <w:p>
            <w:pPr>
              <w:spacing w:after="0"/>
              <w:rPr>
                <w:sz w:val="12"/>
                <w:szCs w:val="12"/>
                <w:color w:val="auto"/>
              </w:rPr>
            </w:pPr>
          </w:p>
        </w:tc>
        <w:tc>
          <w:tcPr>
            <w:tcW w:w="660" w:type="dxa"/>
            <w:vAlign w:val="bottom"/>
            <w:tcBorders>
              <w:bottom w:val="single" w:sz="8" w:color="auto"/>
            </w:tcBorders>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11,350</w:t>
            </w:r>
          </w:p>
        </w:tc>
      </w:tr>
      <w:tr>
        <w:trPr>
          <w:trHeight w:val="142"/>
        </w:trPr>
        <w:tc>
          <w:tcPr>
            <w:tcW w:w="616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Cash and cash equivalents at end of period</w:t>
            </w:r>
          </w:p>
        </w:tc>
        <w:tc>
          <w:tcPr>
            <w:tcW w:w="1560" w:type="dxa"/>
            <w:vAlign w:val="bottom"/>
          </w:tcPr>
          <w:p>
            <w:pPr>
              <w:spacing w:after="0"/>
              <w:rPr>
                <w:sz w:val="12"/>
                <w:szCs w:val="12"/>
                <w:color w:val="auto"/>
              </w:rPr>
            </w:pPr>
          </w:p>
        </w:tc>
        <w:tc>
          <w:tcPr>
            <w:tcW w:w="1020" w:type="dxa"/>
            <w:vAlign w:val="bottom"/>
            <w:tcBorders>
              <w:bottom w:val="single" w:sz="8" w:color="auto"/>
            </w:tcBorders>
          </w:tcPr>
          <w:p>
            <w:pPr>
              <w:jc w:val="right"/>
              <w:ind w:right="899"/>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tcPr>
          <w:p>
            <w:pPr>
              <w:jc w:val="right"/>
              <w:ind w:right="48"/>
              <w:spacing w:after="0" w:line="129" w:lineRule="exact"/>
              <w:rPr>
                <w:sz w:val="20"/>
                <w:szCs w:val="20"/>
                <w:color w:val="auto"/>
              </w:rPr>
            </w:pPr>
            <w:r>
              <w:rPr>
                <w:rFonts w:ascii="Times New Roman" w:cs="Times New Roman" w:eastAsia="Times New Roman" w:hAnsi="Times New Roman"/>
                <w:sz w:val="14"/>
                <w:szCs w:val="14"/>
                <w:color w:val="auto"/>
              </w:rPr>
              <w:t>9,544</w:t>
            </w:r>
          </w:p>
        </w:tc>
        <w:tc>
          <w:tcPr>
            <w:tcW w:w="160" w:type="dxa"/>
            <w:vAlign w:val="bottom"/>
          </w:tcPr>
          <w:p>
            <w:pPr>
              <w:spacing w:after="0"/>
              <w:rPr>
                <w:sz w:val="12"/>
                <w:szCs w:val="12"/>
                <w:color w:val="auto"/>
              </w:rPr>
            </w:pPr>
          </w:p>
        </w:tc>
        <w:tc>
          <w:tcPr>
            <w:tcW w:w="1020" w:type="dxa"/>
            <w:vAlign w:val="bottom"/>
            <w:tcBorders>
              <w:bottom w:val="single" w:sz="8" w:color="auto"/>
            </w:tcBorders>
          </w:tcPr>
          <w:p>
            <w:pPr>
              <w:jc w:val="right"/>
              <w:ind w:right="86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tcPr>
          <w:p>
            <w:pPr>
              <w:jc w:val="right"/>
              <w:ind w:right="48"/>
              <w:spacing w:after="0" w:line="129" w:lineRule="exact"/>
              <w:rPr>
                <w:sz w:val="20"/>
                <w:szCs w:val="20"/>
                <w:color w:val="auto"/>
              </w:rPr>
            </w:pPr>
            <w:r>
              <w:rPr>
                <w:rFonts w:ascii="Times New Roman" w:cs="Times New Roman" w:eastAsia="Times New Roman" w:hAnsi="Times New Roman"/>
                <w:sz w:val="14"/>
                <w:szCs w:val="14"/>
                <w:color w:val="auto"/>
              </w:rPr>
              <w:t>13,372</w:t>
            </w:r>
          </w:p>
        </w:tc>
      </w:tr>
      <w:tr>
        <w:trPr>
          <w:trHeight w:val="20"/>
        </w:trPr>
        <w:tc>
          <w:tcPr>
            <w:tcW w:w="61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129"/>
        </w:trPr>
        <w:tc>
          <w:tcPr>
            <w:tcW w:w="616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60" w:type="dxa"/>
            <w:vAlign w:val="bottom"/>
          </w:tcPr>
          <w:p>
            <w:pPr>
              <w:spacing w:after="0"/>
              <w:rPr>
                <w:sz w:val="11"/>
                <w:szCs w:val="11"/>
                <w:color w:val="auto"/>
              </w:rPr>
            </w:pPr>
          </w:p>
        </w:tc>
      </w:tr>
      <w:tr>
        <w:trPr>
          <w:trHeight w:val="148"/>
        </w:trPr>
        <w:tc>
          <w:tcPr>
            <w:tcW w:w="61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Supplemental disclosure of cash flow information</w:t>
            </w:r>
          </w:p>
        </w:tc>
        <w:tc>
          <w:tcPr>
            <w:tcW w:w="156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r>
      <w:tr>
        <w:trPr>
          <w:trHeight w:val="149"/>
        </w:trPr>
        <w:tc>
          <w:tcPr>
            <w:tcW w:w="616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Cash paid for interest</w:t>
            </w:r>
          </w:p>
        </w:tc>
        <w:tc>
          <w:tcPr>
            <w:tcW w:w="2580" w:type="dxa"/>
            <w:vAlign w:val="bottom"/>
            <w:gridSpan w:val="2"/>
          </w:tcPr>
          <w:p>
            <w:pPr>
              <w:jc w:val="right"/>
              <w:ind w:right="899"/>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858</w:t>
            </w:r>
          </w:p>
        </w:tc>
        <w:tc>
          <w:tcPr>
            <w:tcW w:w="1180" w:type="dxa"/>
            <w:vAlign w:val="bottom"/>
            <w:gridSpan w:val="2"/>
          </w:tcPr>
          <w:p>
            <w:pPr>
              <w:jc w:val="right"/>
              <w:ind w:right="8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1,229</w:t>
            </w:r>
          </w:p>
        </w:tc>
      </w:tr>
      <w:tr>
        <w:trPr>
          <w:trHeight w:val="148"/>
        </w:trPr>
        <w:tc>
          <w:tcPr>
            <w:tcW w:w="61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Noncash investing activities</w:t>
            </w:r>
          </w:p>
        </w:tc>
        <w:tc>
          <w:tcPr>
            <w:tcW w:w="156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r>
      <w:tr>
        <w:trPr>
          <w:trHeight w:val="148"/>
        </w:trPr>
        <w:tc>
          <w:tcPr>
            <w:tcW w:w="616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Unrealized (gains) losses, net on marketable securities</w:t>
            </w:r>
          </w:p>
        </w:tc>
        <w:tc>
          <w:tcPr>
            <w:tcW w:w="2580" w:type="dxa"/>
            <w:vAlign w:val="bottom"/>
            <w:gridSpan w:val="2"/>
          </w:tcPr>
          <w:p>
            <w:pPr>
              <w:jc w:val="right"/>
              <w:ind w:right="899"/>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98</w:t>
            </w:r>
          </w:p>
        </w:tc>
        <w:tc>
          <w:tcPr>
            <w:tcW w:w="1180" w:type="dxa"/>
            <w:vAlign w:val="bottom"/>
            <w:gridSpan w:val="2"/>
          </w:tcPr>
          <w:p>
            <w:pPr>
              <w:jc w:val="right"/>
              <w:ind w:right="8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40</w:t>
            </w:r>
          </w:p>
        </w:tc>
      </w:tr>
      <w:tr>
        <w:trPr>
          <w:trHeight w:val="149"/>
        </w:trPr>
        <w:tc>
          <w:tcPr>
            <w:tcW w:w="61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Noncash financing activities</w:t>
            </w:r>
          </w:p>
        </w:tc>
        <w:tc>
          <w:tcPr>
            <w:tcW w:w="156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r>
      <w:tr>
        <w:trPr>
          <w:trHeight w:val="188"/>
        </w:trPr>
        <w:tc>
          <w:tcPr>
            <w:tcW w:w="61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Legal cost financing</w:t>
            </w:r>
          </w:p>
        </w:tc>
        <w:tc>
          <w:tcPr>
            <w:tcW w:w="2580" w:type="dxa"/>
            <w:vAlign w:val="bottom"/>
            <w:gridSpan w:val="2"/>
          </w:tcPr>
          <w:p>
            <w:pPr>
              <w:jc w:val="right"/>
              <w:ind w:right="899"/>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497</w:t>
            </w:r>
          </w:p>
        </w:tc>
        <w:tc>
          <w:tcPr>
            <w:tcW w:w="1180" w:type="dxa"/>
            <w:vAlign w:val="bottom"/>
            <w:gridSpan w:val="2"/>
          </w:tcPr>
          <w:p>
            <w:pPr>
              <w:jc w:val="right"/>
              <w:ind w:right="86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-2381885</wp:posOffset>
            </wp:positionV>
            <wp:extent cx="10287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5958840</wp:posOffset>
            </wp:positionH>
            <wp:positionV relativeFrom="paragraph">
              <wp:posOffset>-1811655</wp:posOffset>
            </wp:positionV>
            <wp:extent cx="128270" cy="1371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270" cy="13716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-1019175</wp:posOffset>
            </wp:positionV>
            <wp:extent cx="10287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-813435</wp:posOffset>
            </wp:positionV>
            <wp:extent cx="10287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3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TREACE MEDICAL CONCEPTS,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Formation and Business of the Company</w:t>
      </w:r>
    </w:p>
    <w:p>
      <w:pPr>
        <w:spacing w:after="0" w:line="121" w:lineRule="exact"/>
        <w:rPr>
          <w:sz w:val="20"/>
          <w:szCs w:val="20"/>
          <w:color w:val="auto"/>
        </w:rPr>
      </w:pPr>
    </w:p>
    <w:p>
      <w:pPr>
        <w:ind w:right="140"/>
        <w:spacing w:after="0" w:line="243" w:lineRule="auto"/>
        <w:rPr>
          <w:sz w:val="20"/>
          <w:szCs w:val="20"/>
          <w:color w:val="auto"/>
        </w:rPr>
      </w:pPr>
      <w:r>
        <w:rPr>
          <w:rFonts w:ascii="Times New Roman" w:cs="Times New Roman" w:eastAsia="Times New Roman" w:hAnsi="Times New Roman"/>
          <w:sz w:val="18"/>
          <w:szCs w:val="18"/>
          <w:color w:val="auto"/>
        </w:rPr>
        <w:t>Treace Medical Concepts, Inc. (the "Company") is a medical technology company with the goal of advancing the standard of care for the surgical management of bunion and related midfoot deformities. The Company has pioneered and patented the Lapiplasty</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3D Bunion Correction System–a combination of instruments, implants, and surgical methods designed to surgically correct all three planes of the bunion deformity and secure the unstable joint, addressing the root cause of the bunion and helping patients get back to their active lifestyles. To further support the needs of surgeons and bunion patients, the Company has expanded its product offerings to continue to execute its strategy of becoming a comprehensive bunion solutions company and further penetrating the bunion market opportunity. The Company operates from its corporate headquarters located in Ponte Vedra, Florida.</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2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Company prepared the unaudited interim condensed financial statements included in this report in accordance with U.S. generally accepted accounting principles ("GAAP") for interim financial information and the rules and regulations of the Securities and Exchange Commission ("SEC") related to quarterly reports on Form 10-Q.</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condensed financial statements have been prepared on the same basis as the Company’s annual financial statements included in the Company’s Annual Report on Form 10-K for the fiscal year ended December 31, 2025, filed with the SEC on February 27, 2026. The condensed financial statements included herein reflect all adjustments, including normal recurring adjustments, which are, in the opinion of management, necessary for a fair presentation of the financial position, results of operations and cash flows for the periods presented. The results of operations for the three months ended March 31, 2026 are not necessarily indicative of the results that may be expected for future quarters or for the fiscal year ending December 31, 2026.</w:t>
      </w:r>
    </w:p>
    <w:p>
      <w:pPr>
        <w:spacing w:after="0" w:line="18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Any reference in these notes to applicable guidance is meant to refer to the authoritative GAAP as found in the Accounting Standards Codification ("ASC") and Accounting Standards Updates ("ASU") of the Financial Accounting Standards Board ("FASB").</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periods. Although these estimates are based on the Company’s knowledge of current events and actions it may undertake in the future, actual results may ultimately materially differ from these estimates and assumptions.</w:t>
      </w:r>
    </w:p>
    <w:p>
      <w:pPr>
        <w:spacing w:after="0" w:line="180" w:lineRule="exact"/>
        <w:rPr>
          <w:sz w:val="20"/>
          <w:szCs w:val="20"/>
          <w:color w:val="auto"/>
        </w:rPr>
      </w:pPr>
    </w:p>
    <w:p>
      <w:pPr>
        <w:ind w:right="440"/>
        <w:spacing w:after="0" w:line="312" w:lineRule="auto"/>
        <w:rPr>
          <w:sz w:val="20"/>
          <w:szCs w:val="20"/>
          <w:color w:val="auto"/>
        </w:rPr>
      </w:pPr>
      <w:r>
        <w:rPr>
          <w:rFonts w:ascii="Times New Roman" w:cs="Times New Roman" w:eastAsia="Times New Roman" w:hAnsi="Times New Roman"/>
          <w:sz w:val="17"/>
          <w:szCs w:val="17"/>
          <w:color w:val="auto"/>
        </w:rPr>
        <w:t>Significant estimates and assumptions include valuation of intangible assets and goodwill, reserves and write-downs related to accounts receivable, inventories, the recoverability of long-term assets, deferred tax assets and related valuation allowances, contingencies, and stock-based compensation.</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121"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Property and equipment is recorded at cost. Depreciation and amortization of property, equipment and internal-use software and website costs are recorded using the straight-line method over the estimated useful lives of the related assets.</w:t>
      </w:r>
    </w:p>
    <w:p>
      <w:pPr>
        <w:spacing w:after="0" w:line="162"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Amortization expense on internal-use software and website development costs was $0.1 million and $0.1 million for the three months ended March 31, 2026 and 2025, respectively. Accumulated amortization for software and website development costs was $0.7 million and $0.6 million as of March 31, 2026 and December 31, 2025, respectively.</w:t>
      </w:r>
    </w:p>
    <w:p>
      <w:pPr>
        <w:spacing w:after="0" w:line="176"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Beginning January 1, 2026, the Company adjusted the useful life of its capitalized surgical instruments from three years to five years. The change in useful life was made as a prospective adjustment and resulted in a decrease of depreciation expense of $1.2 million and decrease of $0.02 on a loss per share basis for the three months ended March 31, 2026. The change in</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0" w:name="page11"/>
    <w:bookmarkEnd w:id="10"/>
    <w:p>
      <w:pPr>
        <w:ind w:right="20"/>
        <w:spacing w:after="0" w:line="282" w:lineRule="auto"/>
        <w:rPr>
          <w:sz w:val="20"/>
          <w:szCs w:val="20"/>
          <w:color w:val="auto"/>
        </w:rPr>
      </w:pPr>
      <w:r>
        <w:rPr>
          <w:rFonts w:ascii="Times New Roman" w:cs="Times New Roman" w:eastAsia="Times New Roman" w:hAnsi="Times New Roman"/>
          <w:sz w:val="18"/>
          <w:szCs w:val="18"/>
          <w:color w:val="auto"/>
        </w:rPr>
        <w:t>useful life is expected to reduce depreciation expense by $4.6 million for the year ended 2026 based on capitalized surgical instruments balances during the year.</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risk consist principally of cash, cash equivalents, marketable securities, and accounts receivable. The Company maintains its cash with established financial institutions and has exposure for balances in excess of the Federal Deposit Insurance Corporation insured limits. The Company's available-for-sale securities portfolio primarily consists of U.S. treasury and agency securities, money market funds, commercial paper, Yankee CDs, high credit quality asset-backed securities and corporate debt securities. The Company's investment policy requires its available-for-sale securities to meet certain criteria including investment type, credit ratings, and a maximum portfolio duration of one year.</w:t>
      </w:r>
    </w:p>
    <w:p>
      <w:pPr>
        <w:spacing w:after="0" w:line="18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Company earns revenue from the sale of its products to customers such as hospitals, ambulatory surgery centers, and stocking distributors. The Company’s accounts receivable are derived from revenue earned from customers. At March 31, 2026 and December 31, 2025, no customer accounted for more than 10% of accounts receivable. For the three months ended March 31, 2026 and 2025, there were no customers that represented 10% or more of revenue.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Rental Income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recorded rental income for its subleases of $0.3 million and $0.1 million for the three months ended March 31, 2026 and 2025, respectively.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subleases are classified as operating leases.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Recent Accounting Pronouncements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11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 xml:space="preserve">In September 2025, the FASB issued ASU 2025-06, </w:t>
      </w:r>
      <w:r>
        <w:rPr>
          <w:rFonts w:ascii="Times New Roman" w:cs="Times New Roman" w:eastAsia="Times New Roman" w:hAnsi="Times New Roman"/>
          <w:sz w:val="18"/>
          <w:szCs w:val="18"/>
          <w:i w:val="1"/>
          <w:iCs w:val="1"/>
          <w:color w:val="auto"/>
        </w:rPr>
        <w:t>Intangibles–Goodwill and Other–Internal-Use Software Topic 350-40: Targeted Improvements to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Accounting for Internal-Use Software ("ASC 350-40")</w:t>
      </w:r>
      <w:r>
        <w:rPr>
          <w:rFonts w:ascii="Times New Roman" w:cs="Times New Roman" w:eastAsia="Times New Roman" w:hAnsi="Times New Roman"/>
          <w:sz w:val="18"/>
          <w:szCs w:val="18"/>
          <w:color w:val="auto"/>
        </w:rPr>
        <w:t>. The update clarifies and modernizes the accounting for costs related to internal-use software.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guidance removes all references to project stages in ASC 350-40 and clarifies the threshold entities should apply to begin capitalizing costs. The new guidance is effective for annual periods beginning after December 15, 2027, and interim periods within those years. The Company adopted the standard January 1, 2026 on a prospective basis. The adoption of this update did not have a material impact on the Company's financial statements.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 Not Yet Adopted</w:t>
      </w:r>
    </w:p>
    <w:p>
      <w:pPr>
        <w:spacing w:after="0" w:line="119"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7"/>
          <w:szCs w:val="17"/>
          <w:color w:val="auto"/>
        </w:rPr>
        <w:t xml:space="preserve">In November 2024, the FASB issued ASU 2024-03, </w:t>
      </w:r>
      <w:r>
        <w:rPr>
          <w:rFonts w:ascii="Times New Roman" w:cs="Times New Roman" w:eastAsia="Times New Roman" w:hAnsi="Times New Roman"/>
          <w:sz w:val="17"/>
          <w:szCs w:val="17"/>
          <w:i w:val="1"/>
          <w:iCs w:val="1"/>
          <w:color w:val="auto"/>
        </w:rPr>
        <w:t>Income Statement</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Reporting Comprehensive Income</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Expense Disaggregation Disclosures Topic 220-40 ("ASC 220-40"). </w:t>
      </w:r>
      <w:r>
        <w:rPr>
          <w:rFonts w:ascii="Times New Roman" w:cs="Times New Roman" w:eastAsia="Times New Roman" w:hAnsi="Times New Roman"/>
          <w:sz w:val="17"/>
          <w:szCs w:val="17"/>
          <w:color w:val="auto"/>
        </w:rPr>
        <w:t>The update requires all public business entities at interim and annual reporting periods to disclose in (1) a tabular format the amounts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of certain specified natural expenses included in each relevant expense caption: the purchases of inventory, employee compensation, depreciation, and intangible asset amortization, (2) a qualitative description of the amounts remaining in relevant expense captions that are not separately disaggregated, and</w:t>
      </w:r>
    </w:p>
    <w:p>
      <w:pPr>
        <w:spacing w:after="0" w:line="1" w:lineRule="exact"/>
        <w:rPr>
          <w:sz w:val="20"/>
          <w:szCs w:val="20"/>
          <w:color w:val="auto"/>
        </w:rPr>
      </w:pPr>
    </w:p>
    <w:p>
      <w:pPr>
        <w:ind w:right="60" w:firstLine="8"/>
        <w:spacing w:after="0" w:line="253" w:lineRule="auto"/>
        <w:tabs>
          <w:tab w:leader="none" w:pos="2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amount of selling expenses and an entity's definition of selling expenses annually. The new guidance is effective for annual periods beginning after December 15, 2026, and interim periods beginning after December 15, 2027. Early adoption is permitted. The amendments are to be applied on a prospective basis, with retrospective application permitted. The Company is currently evaluating the impact of the new standard on its financial statements and related disclosures.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Fair Value Measurements</w:t>
      </w:r>
    </w:p>
    <w:p>
      <w:pPr>
        <w:spacing w:after="0" w:line="121"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Assets and liabilities recorded at fair value in the condensed financial statements are categorized based upon the level of judgment associated with the inputs used to measure their fair value. Hierarchical levels which are directly related to the amount of subjectivity associated with the inputs to the valuation of these assets or liabilities are as follows:</w:t>
      </w:r>
    </w:p>
    <w:p>
      <w:pPr>
        <w:spacing w:after="0" w:line="59" w:lineRule="exact"/>
        <w:rPr>
          <w:sz w:val="20"/>
          <w:szCs w:val="20"/>
          <w:color w:val="auto"/>
        </w:rPr>
      </w:pPr>
    </w:p>
    <w:p>
      <w:pPr>
        <w:ind w:left="760" w:right="1200"/>
        <w:spacing w:after="0" w:line="284" w:lineRule="auto"/>
        <w:rPr>
          <w:sz w:val="20"/>
          <w:szCs w:val="20"/>
          <w:color w:val="auto"/>
        </w:rPr>
      </w:pPr>
      <w:r>
        <w:rPr>
          <w:rFonts w:ascii="Times New Roman" w:cs="Times New Roman" w:eastAsia="Times New Roman" w:hAnsi="Times New Roman"/>
          <w:sz w:val="18"/>
          <w:szCs w:val="18"/>
          <w:color w:val="auto"/>
        </w:rPr>
        <w:t>Level 1</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Inputs are unadjusted quoted prices in active markets for identical assets or liabilities that the Company has the ability to access as of the measurement date.</w:t>
      </w:r>
    </w:p>
    <w:p>
      <w:pPr>
        <w:spacing w:after="0" w:line="36" w:lineRule="exact"/>
        <w:rPr>
          <w:sz w:val="20"/>
          <w:szCs w:val="20"/>
          <w:color w:val="auto"/>
        </w:rPr>
      </w:pPr>
    </w:p>
    <w:p>
      <w:pPr>
        <w:ind w:left="760" w:right="1440"/>
        <w:spacing w:after="0" w:line="284" w:lineRule="auto"/>
        <w:rPr>
          <w:sz w:val="20"/>
          <w:szCs w:val="20"/>
          <w:color w:val="auto"/>
        </w:rPr>
      </w:pPr>
      <w:r>
        <w:rPr>
          <w:rFonts w:ascii="Times New Roman" w:cs="Times New Roman" w:eastAsia="Times New Roman" w:hAnsi="Times New Roman"/>
          <w:sz w:val="18"/>
          <w:szCs w:val="18"/>
          <w:color w:val="auto"/>
        </w:rPr>
        <w:t>Level 2</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Inputs are observable, unadjusted quoted prices in active markets for similar assets or liabilities, unadjusted quoted prices for identical or similar assets or liabilities in markets that are not</w:t>
      </w: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9" w:right="359" w:bottom="1440" w:gutter="0" w:footer="0" w:header="0"/>
        </w:sectPr>
      </w:pPr>
    </w:p>
    <w:bookmarkStart w:id="11" w:name="page12"/>
    <w:bookmarkEnd w:id="11"/>
    <w:p>
      <w:pPr>
        <w:ind w:left="760" w:right="1280"/>
        <w:spacing w:after="0" w:line="282" w:lineRule="auto"/>
        <w:rPr>
          <w:sz w:val="20"/>
          <w:szCs w:val="20"/>
          <w:color w:val="auto"/>
        </w:rPr>
      </w:pPr>
      <w:r>
        <w:rPr>
          <w:rFonts w:ascii="Times New Roman" w:cs="Times New Roman" w:eastAsia="Times New Roman" w:hAnsi="Times New Roman"/>
          <w:sz w:val="18"/>
          <w:szCs w:val="18"/>
          <w:color w:val="auto"/>
        </w:rPr>
        <w:t>active or other inputs that are observable or can be corroborated by observable market data for substantially the full term of the related assets or liabilities.</w:t>
      </w:r>
    </w:p>
    <w:p>
      <w:pPr>
        <w:spacing w:after="0" w:line="44" w:lineRule="exact"/>
        <w:rPr>
          <w:sz w:val="20"/>
          <w:szCs w:val="20"/>
          <w:color w:val="auto"/>
        </w:rPr>
      </w:pPr>
    </w:p>
    <w:p>
      <w:pPr>
        <w:ind w:left="760" w:right="1420"/>
        <w:spacing w:after="0" w:line="265" w:lineRule="auto"/>
        <w:rPr>
          <w:sz w:val="20"/>
          <w:szCs w:val="20"/>
          <w:color w:val="auto"/>
        </w:rPr>
      </w:pPr>
      <w:r>
        <w:rPr>
          <w:rFonts w:ascii="Times New Roman" w:cs="Times New Roman" w:eastAsia="Times New Roman" w:hAnsi="Times New Roman"/>
          <w:sz w:val="18"/>
          <w:szCs w:val="18"/>
          <w:color w:val="auto"/>
        </w:rPr>
        <w:t>Level 3</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Unobservable inputs for the asset or liability only used when there is little, if any, market activity for the asset or liability at the measurement date. This hierarchy requires the Company to use observable market data, when available, and to minimize the use of unobservable inputs when determining fair value.</w:t>
      </w:r>
    </w:p>
    <w:p>
      <w:pPr>
        <w:spacing w:after="0" w:line="174" w:lineRule="exact"/>
        <w:rPr>
          <w:sz w:val="20"/>
          <w:szCs w:val="20"/>
          <w:color w:val="auto"/>
        </w:rPr>
      </w:pPr>
    </w:p>
    <w:p>
      <w:pPr>
        <w:ind w:right="380"/>
        <w:spacing w:after="0" w:line="284" w:lineRule="auto"/>
        <w:rPr>
          <w:sz w:val="20"/>
          <w:szCs w:val="20"/>
          <w:color w:val="auto"/>
        </w:rPr>
      </w:pPr>
      <w:r>
        <w:rPr>
          <w:rFonts w:ascii="Times New Roman" w:cs="Times New Roman" w:eastAsia="Times New Roman" w:hAnsi="Times New Roman"/>
          <w:sz w:val="18"/>
          <w:szCs w:val="18"/>
          <w:i w:val="1"/>
          <w:iCs w:val="1"/>
          <w:color w:val="auto"/>
        </w:rPr>
        <w:t>Assets and Liabilities Measured and Recorded at Fair Value on a Recurring Basis</w:t>
      </w:r>
      <w:r>
        <w:rPr>
          <w:rFonts w:ascii="Times New Roman" w:cs="Times New Roman" w:eastAsia="Times New Roman" w:hAnsi="Times New Roman"/>
          <w:sz w:val="18"/>
          <w:szCs w:val="18"/>
          <w:color w:val="auto"/>
        </w:rPr>
        <w:t>–The following assets and liabilities are measured at fair value on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recurring basis as of March 31, 2026 and December 31, 2025 (in thousands):</w:t>
      </w:r>
    </w:p>
    <w:p>
      <w:pPr>
        <w:spacing w:after="0" w:line="154"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40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gridSpan w:val="3"/>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3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r>
      <w:tr>
        <w:trPr>
          <w:trHeight w:val="142"/>
        </w:trPr>
        <w:tc>
          <w:tcPr>
            <w:tcW w:w="40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352"/>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354"/>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100" w:type="dxa"/>
            <w:vAlign w:val="bottom"/>
          </w:tcPr>
          <w:p>
            <w:pPr>
              <w:spacing w:after="0"/>
              <w:rPr>
                <w:sz w:val="12"/>
                <w:szCs w:val="12"/>
                <w:color w:val="auto"/>
              </w:rPr>
            </w:pPr>
          </w:p>
        </w:tc>
        <w:tc>
          <w:tcPr>
            <w:tcW w:w="880" w:type="dxa"/>
            <w:vAlign w:val="bottom"/>
            <w:tcBorders>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3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52"/>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r>
      <w:tr>
        <w:trPr>
          <w:trHeight w:val="210"/>
        </w:trPr>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w:t>
            </w: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40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Money market funds</w:t>
            </w:r>
          </w:p>
        </w:tc>
        <w:tc>
          <w:tcPr>
            <w:tcW w:w="9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5,098</w:t>
            </w: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FF0FC"/>
          </w:tcPr>
          <w:p>
            <w:pPr>
              <w:jc w:val="right"/>
              <w:ind w:right="708"/>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5,098</w:t>
            </w:r>
          </w:p>
        </w:tc>
      </w:tr>
      <w:tr>
        <w:trPr>
          <w:trHeight w:val="216"/>
        </w:trPr>
        <w:tc>
          <w:tcPr>
            <w:tcW w:w="40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Corporate debt</w:t>
            </w: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400</w:t>
            </w:r>
          </w:p>
        </w:tc>
      </w:tr>
      <w:tr>
        <w:trPr>
          <w:trHeight w:val="216"/>
        </w:trPr>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Short-term marketable securities at fair value</w:t>
            </w: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r>
      <w:tr>
        <w:trPr>
          <w:trHeight w:val="216"/>
        </w:trPr>
        <w:tc>
          <w:tcPr>
            <w:tcW w:w="40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U.S. treasury and government agencies</w:t>
            </w: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8,226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498</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8,724</w:t>
            </w:r>
          </w:p>
        </w:tc>
      </w:tr>
      <w:tr>
        <w:trPr>
          <w:trHeight w:val="216"/>
        </w:trPr>
        <w:tc>
          <w:tcPr>
            <w:tcW w:w="40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Corporate debt</w:t>
            </w: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21,107</w:t>
            </w: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3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21,107</w:t>
            </w:r>
          </w:p>
        </w:tc>
      </w:tr>
      <w:tr>
        <w:trPr>
          <w:trHeight w:val="216"/>
        </w:trPr>
        <w:tc>
          <w:tcPr>
            <w:tcW w:w="40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Asset-backed securities</w:t>
            </w: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11,579</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11,579</w:t>
            </w:r>
          </w:p>
        </w:tc>
      </w:tr>
      <w:tr>
        <w:trPr>
          <w:trHeight w:val="216"/>
        </w:trPr>
        <w:tc>
          <w:tcPr>
            <w:tcW w:w="404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Yankee CD</w:t>
            </w:r>
          </w:p>
        </w:tc>
        <w:tc>
          <w:tcPr>
            <w:tcW w:w="7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900</w:t>
            </w:r>
          </w:p>
        </w:tc>
        <w:tc>
          <w:tcPr>
            <w:tcW w:w="100" w:type="dxa"/>
            <w:vAlign w:val="bottom"/>
            <w:tcBorders>
              <w:bottom w:val="single" w:sz="8" w:color="CFF0FC"/>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900</w:t>
            </w:r>
          </w:p>
        </w:tc>
      </w:tr>
      <w:tr>
        <w:trPr>
          <w:trHeight w:val="210"/>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13,324</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34,484</w:t>
            </w:r>
          </w:p>
        </w:tc>
        <w:tc>
          <w:tcPr>
            <w:tcW w:w="980" w:type="dxa"/>
            <w:vAlign w:val="bottom"/>
            <w:gridSpan w:val="2"/>
          </w:tcPr>
          <w:p>
            <w:pPr>
              <w:jc w:val="right"/>
              <w:ind w:right="708"/>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47,808</w:t>
            </w:r>
          </w:p>
        </w:tc>
      </w:tr>
      <w:tr>
        <w:trPr>
          <w:trHeight w:val="20"/>
        </w:trPr>
        <w:tc>
          <w:tcPr>
            <w:tcW w:w="40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345"/>
        </w:trPr>
        <w:tc>
          <w:tcPr>
            <w:tcW w:w="40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3"/>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r>
        <w:trPr>
          <w:trHeight w:val="142"/>
        </w:trPr>
        <w:tc>
          <w:tcPr>
            <w:tcW w:w="40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352"/>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354"/>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100" w:type="dxa"/>
            <w:vAlign w:val="bottom"/>
          </w:tcPr>
          <w:p>
            <w:pPr>
              <w:spacing w:after="0"/>
              <w:rPr>
                <w:sz w:val="12"/>
                <w:szCs w:val="12"/>
                <w:color w:val="auto"/>
              </w:rPr>
            </w:pPr>
          </w:p>
        </w:tc>
        <w:tc>
          <w:tcPr>
            <w:tcW w:w="880" w:type="dxa"/>
            <w:vAlign w:val="bottom"/>
            <w:tcBorders>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3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52"/>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r>
      <w:tr>
        <w:trPr>
          <w:trHeight w:val="209"/>
        </w:trPr>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w:t>
            </w: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40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Money market funds</w:t>
            </w:r>
          </w:p>
        </w:tc>
        <w:tc>
          <w:tcPr>
            <w:tcW w:w="9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7,836</w:t>
            </w: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FF0FC"/>
          </w:tcPr>
          <w:p>
            <w:pPr>
              <w:jc w:val="right"/>
              <w:ind w:right="708"/>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7,836</w:t>
            </w: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Short-term marketable securities at fair value</w:t>
            </w: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40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U.S. treasury and government agencies</w:t>
            </w: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6,218</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3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6,718</w:t>
            </w:r>
          </w:p>
        </w:tc>
      </w:tr>
      <w:tr>
        <w:trPr>
          <w:trHeight w:val="216"/>
        </w:trPr>
        <w:tc>
          <w:tcPr>
            <w:tcW w:w="40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Corporate debt</w:t>
            </w: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19,302</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19,302</w:t>
            </w:r>
          </w:p>
        </w:tc>
      </w:tr>
      <w:tr>
        <w:trPr>
          <w:trHeight w:val="216"/>
        </w:trPr>
        <w:tc>
          <w:tcPr>
            <w:tcW w:w="40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Asset-backed securities</w:t>
            </w: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10,438</w:t>
            </w: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3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10,438</w:t>
            </w:r>
          </w:p>
        </w:tc>
      </w:tr>
      <w:tr>
        <w:trPr>
          <w:trHeight w:val="216"/>
        </w:trPr>
        <w:tc>
          <w:tcPr>
            <w:tcW w:w="40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Yankee CD</w:t>
            </w:r>
          </w:p>
        </w:tc>
        <w:tc>
          <w:tcPr>
            <w:tcW w:w="7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1,201</w:t>
            </w:r>
          </w:p>
        </w:tc>
        <w:tc>
          <w:tcPr>
            <w:tcW w:w="10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1,201</w:t>
            </w:r>
          </w:p>
        </w:tc>
      </w:tr>
      <w:tr>
        <w:trPr>
          <w:trHeight w:val="230"/>
        </w:trPr>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9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14,054</w:t>
            </w: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31,441</w:t>
            </w:r>
          </w:p>
        </w:tc>
        <w:tc>
          <w:tcPr>
            <w:tcW w:w="980" w:type="dxa"/>
            <w:vAlign w:val="bottom"/>
            <w:gridSpan w:val="2"/>
            <w:shd w:val="clear" w:color="auto" w:fill="CFF0FC"/>
          </w:tcPr>
          <w:p>
            <w:pPr>
              <w:jc w:val="right"/>
              <w:ind w:right="708"/>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45,495</w:t>
            </w:r>
          </w:p>
        </w:tc>
      </w:tr>
      <w:tr>
        <w:trPr>
          <w:trHeight w:val="20"/>
        </w:trPr>
        <w:tc>
          <w:tcPr>
            <w:tcW w:w="404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4205605</wp:posOffset>
            </wp:positionH>
            <wp:positionV relativeFrom="paragraph">
              <wp:posOffset>-1782445</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-1782445</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-1782445</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-24765</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-7620</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-24765</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-7620</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-24765</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-7620</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The carrying amounts of the Company's money market funds classified as cash and cash equivalents, accounts receivable, accounts payable, and accrued liabilities, approximate their fair value due to the short-term nature of these assets and liabilities. Based on the borrowing rates currently available to the Company for debt with similar terms and consideration of default and credit risk, the carrying value of the term loan approximates fair value.</w:t>
      </w:r>
    </w:p>
    <w:p>
      <w:pPr>
        <w:spacing w:after="0" w:line="17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Company's available-for-sale securities portfolio may consist of investments in U.S. treasury and government agency securities, commercial paper, corporate debt securities, asset-backed securities, and Yankee CDs. Yankee CDs are certificates of deposit issued in the United States by a branch of a foreign bank and are denominated in U.S. dollars. The fair value of Level 1 securities is determined on trade prices in active markets for identical assets. The fair value of Level 2 securities is determined using valuation models using inputs that are observable either directly or indirectly, such as quoted prices for similar assets, interest rates, yield curves, credit spreads, default rates, loss severity, broker and dealer quotes, as well as other relevant economic measures.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assets or liabilities measured at fair value on a nonrecurring basis as of March 31, 2026 and December 31, 2025.</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01" w:right="39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5. Balance Sheet Components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cash and cash equivalents consisted of the following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60" w:type="dxa"/>
            <w:vAlign w:val="bottom"/>
            <w:gridSpan w:val="5"/>
          </w:tcPr>
          <w:p>
            <w:pPr>
              <w:jc w:val="right"/>
              <w:ind w:right="51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360" w:type="dxa"/>
            <w:vAlign w:val="bottom"/>
            <w:gridSpan w:val="4"/>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5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60" w:type="dxa"/>
            <w:vAlign w:val="bottom"/>
            <w:tcBorders>
              <w:bottom w:val="single" w:sz="8" w:color="auto"/>
            </w:tcBorders>
            <w:gridSpan w:val="5"/>
          </w:tcPr>
          <w:p>
            <w:pPr>
              <w:jc w:val="right"/>
              <w:ind w:right="67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09"/>
        </w:trPr>
        <w:tc>
          <w:tcPr>
            <w:tcW w:w="5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w:t>
            </w:r>
          </w:p>
        </w:tc>
        <w:tc>
          <w:tcPr>
            <w:tcW w:w="10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center"/>
              <w:ind w:right="2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4"/>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4,046</w:t>
            </w:r>
          </w:p>
        </w:tc>
        <w:tc>
          <w:tcPr>
            <w:tcW w:w="440" w:type="dxa"/>
            <w:vAlign w:val="bottom"/>
            <w:gridSpan w:val="2"/>
            <w:shd w:val="clear" w:color="auto" w:fill="CFF0FC"/>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2,872</w:t>
            </w:r>
          </w:p>
        </w:tc>
        <w:tc>
          <w:tcPr>
            <w:tcW w:w="0" w:type="dxa"/>
            <w:vAlign w:val="bottom"/>
          </w:tcPr>
          <w:p>
            <w:pPr>
              <w:spacing w:after="0"/>
              <w:rPr>
                <w:sz w:val="1"/>
                <w:szCs w:val="1"/>
                <w:color w:val="auto"/>
              </w:rPr>
            </w:pPr>
          </w:p>
        </w:tc>
      </w:tr>
      <w:tr>
        <w:trPr>
          <w:trHeight w:val="216"/>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Money market funds</w:t>
            </w:r>
          </w:p>
        </w:tc>
        <w:tc>
          <w:tcPr>
            <w:tcW w:w="10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940" w:type="dxa"/>
            <w:vAlign w:val="bottom"/>
            <w:gridSpan w:val="4"/>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5,098</w:t>
            </w:r>
          </w:p>
        </w:tc>
        <w:tc>
          <w:tcPr>
            <w:tcW w:w="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7,836</w:t>
            </w:r>
          </w:p>
        </w:tc>
        <w:tc>
          <w:tcPr>
            <w:tcW w:w="0" w:type="dxa"/>
            <w:vAlign w:val="bottom"/>
          </w:tcPr>
          <w:p>
            <w:pPr>
              <w:spacing w:after="0"/>
              <w:rPr>
                <w:sz w:val="1"/>
                <w:szCs w:val="1"/>
                <w:color w:val="auto"/>
              </w:rPr>
            </w:pPr>
          </w:p>
        </w:tc>
      </w:tr>
      <w:tr>
        <w:trPr>
          <w:trHeight w:val="216"/>
        </w:trPr>
        <w:tc>
          <w:tcPr>
            <w:tcW w:w="5760" w:type="dxa"/>
            <w:vAlign w:val="bottom"/>
            <w:tcBorders>
              <w:bottom w:val="single" w:sz="8" w:color="CFF0FC"/>
            </w:tcBorders>
          </w:tcPr>
          <w:p>
            <w:pPr>
              <w:ind w:left="140"/>
              <w:spacing w:after="0"/>
              <w:rPr>
                <w:sz w:val="20"/>
                <w:szCs w:val="20"/>
                <w:color w:val="auto"/>
              </w:rPr>
            </w:pPr>
            <w:r>
              <w:rPr>
                <w:rFonts w:ascii="Times New Roman" w:cs="Times New Roman" w:eastAsia="Times New Roman" w:hAnsi="Times New Roman"/>
                <w:sz w:val="18"/>
                <w:szCs w:val="18"/>
                <w:color w:val="auto"/>
              </w:rPr>
              <w:t>Corporate debt</w:t>
            </w:r>
          </w:p>
        </w:tc>
        <w:tc>
          <w:tcPr>
            <w:tcW w:w="100" w:type="dxa"/>
            <w:vAlign w:val="bottom"/>
            <w:tcBorders>
              <w:bottom w:val="single" w:sz="8" w:color="CFF0FC"/>
            </w:tcBorders>
          </w:tcPr>
          <w:p>
            <w:pPr>
              <w:spacing w:after="0"/>
              <w:rPr>
                <w:sz w:val="18"/>
                <w:szCs w:val="18"/>
                <w:color w:val="auto"/>
              </w:rPr>
            </w:pPr>
          </w:p>
        </w:tc>
        <w:tc>
          <w:tcPr>
            <w:tcW w:w="1180" w:type="dxa"/>
            <w:vAlign w:val="bottom"/>
            <w:tcBorders>
              <w:bottom w:val="single" w:sz="8" w:color="CFF0FC"/>
            </w:tcBorders>
          </w:tcPr>
          <w:p>
            <w:pPr>
              <w:spacing w:after="0"/>
              <w:rPr>
                <w:sz w:val="18"/>
                <w:szCs w:val="18"/>
                <w:color w:val="auto"/>
              </w:rPr>
            </w:pPr>
          </w:p>
        </w:tc>
        <w:tc>
          <w:tcPr>
            <w:tcW w:w="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300" w:type="dxa"/>
            <w:vAlign w:val="bottom"/>
            <w:tcBorders>
              <w:bottom w:val="single" w:sz="8" w:color="CFF0FC"/>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4"/>
          </w:tcPr>
          <w:p>
            <w:pPr>
              <w:jc w:val="right"/>
              <w:ind w:right="50"/>
              <w:spacing w:after="0"/>
              <w:rPr>
                <w:sz w:val="20"/>
                <w:szCs w:val="20"/>
                <w:color w:val="auto"/>
              </w:rPr>
            </w:pPr>
            <w:r>
              <w:rPr>
                <w:rFonts w:ascii="Times New Roman" w:cs="Times New Roman" w:eastAsia="Times New Roman" w:hAnsi="Times New Roman"/>
                <w:sz w:val="18"/>
                <w:szCs w:val="18"/>
                <w:color w:val="auto"/>
              </w:rPr>
              <w:t>400</w:t>
            </w:r>
          </w:p>
        </w:tc>
        <w:tc>
          <w:tcPr>
            <w:tcW w:w="18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9"/>
        </w:trPr>
        <w:tc>
          <w:tcPr>
            <w:tcW w:w="57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cash and cash equivalents</w:t>
            </w:r>
          </w:p>
        </w:tc>
        <w:tc>
          <w:tcPr>
            <w:tcW w:w="10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720" w:type="dxa"/>
            <w:vAlign w:val="bottom"/>
            <w:tcBorders>
              <w:bottom w:val="single" w:sz="8" w:color="auto"/>
            </w:tcBorders>
            <w:shd w:val="clear" w:color="auto" w:fill="CFF0FC"/>
          </w:tcPr>
          <w:p>
            <w:pPr>
              <w:jc w:val="center"/>
              <w:ind w:right="5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gridSpan w:val="4"/>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9,544</w:t>
            </w:r>
          </w:p>
        </w:tc>
        <w:tc>
          <w:tcPr>
            <w:tcW w:w="18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91"/>
              <w:spacing w:after="0"/>
              <w:rPr>
                <w:sz w:val="20"/>
                <w:szCs w:val="20"/>
                <w:color w:val="auto"/>
              </w:rPr>
            </w:pPr>
            <w:r>
              <w:rPr>
                <w:rFonts w:ascii="Times New Roman" w:cs="Times New Roman" w:eastAsia="Times New Roman" w:hAnsi="Times New Roman"/>
                <w:sz w:val="17"/>
                <w:szCs w:val="17"/>
                <w:color w:val="auto"/>
                <w:w w:val="70"/>
              </w:rPr>
              <w:t>$</w:t>
            </w:r>
          </w:p>
        </w:tc>
        <w:tc>
          <w:tcPr>
            <w:tcW w:w="40" w:type="dxa"/>
            <w:vAlign w:val="bottom"/>
            <w:tcBorders>
              <w:bottom w:val="single" w:sz="8" w:color="auto"/>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40" w:type="dxa"/>
            <w:vAlign w:val="bottom"/>
            <w:tcBorders>
              <w:bottom w:val="single" w:sz="8" w:color="auto"/>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10,708</w:t>
            </w:r>
          </w:p>
        </w:tc>
        <w:tc>
          <w:tcPr>
            <w:tcW w:w="0" w:type="dxa"/>
            <w:vAlign w:val="bottom"/>
          </w:tcPr>
          <w:p>
            <w:pPr>
              <w:spacing w:after="0"/>
              <w:rPr>
                <w:sz w:val="1"/>
                <w:szCs w:val="1"/>
                <w:color w:val="auto"/>
              </w:rPr>
            </w:pPr>
          </w:p>
        </w:tc>
      </w:tr>
      <w:tr>
        <w:trPr>
          <w:trHeight w:val="521"/>
        </w:trPr>
        <w:tc>
          <w:tcPr>
            <w:tcW w:w="57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Marketable Securities</w:t>
            </w: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1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Company's available-for-sale marketable securities consisted of the following (in thousands):</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57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5"/>
          </w:tcPr>
          <w:p>
            <w:pPr>
              <w:jc w:val="right"/>
              <w:ind w:right="43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5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300" w:type="dxa"/>
            <w:vAlign w:val="bottom"/>
            <w:gridSpan w:val="4"/>
          </w:tcPr>
          <w:p>
            <w:pPr>
              <w:ind w:left="40"/>
              <w:spacing w:after="0" w:line="118" w:lineRule="exact"/>
              <w:rPr>
                <w:sz w:val="20"/>
                <w:szCs w:val="20"/>
                <w:color w:val="auto"/>
              </w:rPr>
            </w:pPr>
            <w:r>
              <w:rPr>
                <w:rFonts w:ascii="Times New Roman" w:cs="Times New Roman" w:eastAsia="Times New Roman" w:hAnsi="Times New Roman"/>
                <w:sz w:val="13"/>
                <w:szCs w:val="13"/>
                <w:b w:val="1"/>
                <w:bCs w:val="1"/>
                <w:color w:val="auto"/>
              </w:rPr>
              <w:t>Gross Unrealized</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60" w:type="dxa"/>
            <w:vAlign w:val="bottom"/>
            <w:gridSpan w:val="4"/>
          </w:tcPr>
          <w:p>
            <w:pPr>
              <w:jc w:val="right"/>
              <w:ind w:right="71"/>
              <w:spacing w:after="0" w:line="118" w:lineRule="exact"/>
              <w:rPr>
                <w:sz w:val="20"/>
                <w:szCs w:val="20"/>
                <w:color w:val="auto"/>
              </w:rPr>
            </w:pPr>
            <w:r>
              <w:rPr>
                <w:rFonts w:ascii="Times New Roman" w:cs="Times New Roman" w:eastAsia="Times New Roman" w:hAnsi="Times New Roman"/>
                <w:sz w:val="13"/>
                <w:szCs w:val="13"/>
                <w:b w:val="1"/>
                <w:bCs w:val="1"/>
                <w:color w:val="auto"/>
              </w:rPr>
              <w:t>Gross Unrealized</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73"/>
        </w:trPr>
        <w:tc>
          <w:tcPr>
            <w:tcW w:w="5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3"/>
            <w:vMerge w:val="continue"/>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Marketable securities—short-term</w:t>
            </w:r>
          </w:p>
        </w:tc>
        <w:tc>
          <w:tcPr>
            <w:tcW w:w="10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6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U.S. treasury and government agencies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8,735</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gridSpan w:val="2"/>
          </w:tcPr>
          <w:p>
            <w:pPr>
              <w:jc w:val="right"/>
              <w:ind w:right="113"/>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940" w:type="dxa"/>
            <w:vAlign w:val="bottom"/>
            <w:gridSpan w:val="4"/>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32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8,724</w:t>
            </w:r>
          </w:p>
        </w:tc>
        <w:tc>
          <w:tcPr>
            <w:tcW w:w="0" w:type="dxa"/>
            <w:vAlign w:val="bottom"/>
          </w:tcPr>
          <w:p>
            <w:pPr>
              <w:spacing w:after="0"/>
              <w:rPr>
                <w:sz w:val="1"/>
                <w:szCs w:val="1"/>
                <w:color w:val="auto"/>
              </w:rPr>
            </w:pPr>
          </w:p>
        </w:tc>
      </w:tr>
      <w:tr>
        <w:trPr>
          <w:trHeight w:val="216"/>
        </w:trPr>
        <w:tc>
          <w:tcPr>
            <w:tcW w:w="57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Corporate debt</w:t>
            </w:r>
          </w:p>
        </w:tc>
        <w:tc>
          <w:tcPr>
            <w:tcW w:w="10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21,113</w:t>
            </w: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w:t>
            </w:r>
          </w:p>
        </w:tc>
        <w:tc>
          <w:tcPr>
            <w:tcW w:w="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21,107</w:t>
            </w:r>
          </w:p>
        </w:tc>
        <w:tc>
          <w:tcPr>
            <w:tcW w:w="0" w:type="dxa"/>
            <w:vAlign w:val="bottom"/>
          </w:tcPr>
          <w:p>
            <w:pPr>
              <w:spacing w:after="0"/>
              <w:rPr>
                <w:sz w:val="1"/>
                <w:szCs w:val="1"/>
                <w:color w:val="auto"/>
              </w:rPr>
            </w:pPr>
          </w:p>
        </w:tc>
      </w:tr>
      <w:tr>
        <w:trPr>
          <w:trHeight w:val="216"/>
        </w:trPr>
        <w:tc>
          <w:tcPr>
            <w:tcW w:w="5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Asset-backed securities</w:t>
            </w:r>
          </w:p>
        </w:tc>
        <w:tc>
          <w:tcPr>
            <w:tcW w:w="100" w:type="dxa"/>
            <w:vAlign w:val="bottom"/>
          </w:tcPr>
          <w:p>
            <w:pPr>
              <w:spacing w:after="0"/>
              <w:rPr>
                <w:sz w:val="18"/>
                <w:szCs w:val="18"/>
                <w:color w:val="auto"/>
              </w:rPr>
            </w:pPr>
          </w:p>
        </w:tc>
        <w:tc>
          <w:tcPr>
            <w:tcW w:w="11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11,588</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11,579</w:t>
            </w:r>
          </w:p>
        </w:tc>
        <w:tc>
          <w:tcPr>
            <w:tcW w:w="0" w:type="dxa"/>
            <w:vAlign w:val="bottom"/>
          </w:tcPr>
          <w:p>
            <w:pPr>
              <w:spacing w:after="0"/>
              <w:rPr>
                <w:sz w:val="1"/>
                <w:szCs w:val="1"/>
                <w:color w:val="auto"/>
              </w:rPr>
            </w:pPr>
          </w:p>
        </w:tc>
      </w:tr>
      <w:tr>
        <w:trPr>
          <w:trHeight w:val="216"/>
        </w:trPr>
        <w:tc>
          <w:tcPr>
            <w:tcW w:w="576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Yankee CD</w:t>
            </w:r>
          </w:p>
        </w:tc>
        <w:tc>
          <w:tcPr>
            <w:tcW w:w="10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900</w:t>
            </w:r>
          </w:p>
        </w:tc>
        <w:tc>
          <w:tcPr>
            <w:tcW w:w="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spacing w:after="0"/>
              <w:rPr>
                <w:sz w:val="18"/>
                <w:szCs w:val="18"/>
                <w:color w:val="auto"/>
              </w:rPr>
            </w:pPr>
          </w:p>
        </w:tc>
        <w:tc>
          <w:tcPr>
            <w:tcW w:w="440" w:type="dxa"/>
            <w:vAlign w:val="bottom"/>
            <w:tcBorders>
              <w:bottom w:val="single" w:sz="8" w:color="auto"/>
            </w:tcBorders>
            <w:gridSpan w:val="2"/>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900</w:t>
            </w:r>
          </w:p>
        </w:tc>
        <w:tc>
          <w:tcPr>
            <w:tcW w:w="0" w:type="dxa"/>
            <w:vAlign w:val="bottom"/>
          </w:tcPr>
          <w:p>
            <w:pPr>
              <w:spacing w:after="0"/>
              <w:rPr>
                <w:sz w:val="1"/>
                <w:szCs w:val="1"/>
                <w:color w:val="auto"/>
              </w:rPr>
            </w:pPr>
          </w:p>
        </w:tc>
      </w:tr>
      <w:tr>
        <w:trPr>
          <w:trHeight w:val="210"/>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Total marketable securities—short-term</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42,336</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gridSpan w:val="2"/>
          </w:tcPr>
          <w:p>
            <w:pPr>
              <w:jc w:val="right"/>
              <w:ind w:right="113"/>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gridSpan w:val="2"/>
          </w:tcPr>
          <w:p>
            <w:pPr>
              <w:spacing w:after="0"/>
              <w:rPr>
                <w:sz w:val="18"/>
                <w:szCs w:val="18"/>
                <w:color w:val="auto"/>
              </w:rPr>
            </w:pPr>
          </w:p>
        </w:tc>
        <w:tc>
          <w:tcPr>
            <w:tcW w:w="820" w:type="dxa"/>
            <w:vAlign w:val="bottom"/>
            <w:gridSpan w:val="2"/>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32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42,310</w:t>
            </w: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57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5"/>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5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60" w:type="dxa"/>
            <w:vAlign w:val="bottom"/>
          </w:tcPr>
          <w:p>
            <w:pPr>
              <w:spacing w:after="0"/>
              <w:rPr>
                <w:sz w:val="10"/>
                <w:szCs w:val="10"/>
                <w:color w:val="auto"/>
              </w:rPr>
            </w:pPr>
          </w:p>
        </w:tc>
        <w:tc>
          <w:tcPr>
            <w:tcW w:w="1240" w:type="dxa"/>
            <w:vAlign w:val="bottom"/>
            <w:gridSpan w:val="3"/>
          </w:tcPr>
          <w:p>
            <w:pPr>
              <w:jc w:val="center"/>
              <w:ind w:right="20"/>
              <w:spacing w:after="0" w:line="118" w:lineRule="exact"/>
              <w:rPr>
                <w:sz w:val="20"/>
                <w:szCs w:val="20"/>
                <w:color w:val="auto"/>
              </w:rPr>
            </w:pPr>
            <w:r>
              <w:rPr>
                <w:rFonts w:ascii="Times New Roman" w:cs="Times New Roman" w:eastAsia="Times New Roman" w:hAnsi="Times New Roman"/>
                <w:sz w:val="13"/>
                <w:szCs w:val="13"/>
                <w:b w:val="1"/>
                <w:bCs w:val="1"/>
                <w:color w:val="auto"/>
              </w:rPr>
              <w:t>Gross Unrealized</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0" w:type="dxa"/>
            <w:vAlign w:val="bottom"/>
            <w:gridSpan w:val="3"/>
          </w:tcPr>
          <w:p>
            <w:pPr>
              <w:jc w:val="right"/>
              <w:ind w:right="31"/>
              <w:spacing w:after="0" w:line="118" w:lineRule="exact"/>
              <w:rPr>
                <w:sz w:val="20"/>
                <w:szCs w:val="20"/>
                <w:color w:val="auto"/>
              </w:rPr>
            </w:pPr>
            <w:r>
              <w:rPr>
                <w:rFonts w:ascii="Times New Roman" w:cs="Times New Roman" w:eastAsia="Times New Roman" w:hAnsi="Times New Roman"/>
                <w:sz w:val="13"/>
                <w:szCs w:val="13"/>
                <w:b w:val="1"/>
                <w:bCs w:val="1"/>
                <w:color w:val="auto"/>
              </w:rPr>
              <w:t>Gross Unrealized</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vMerge w:val="restart"/>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73"/>
        </w:trPr>
        <w:tc>
          <w:tcPr>
            <w:tcW w:w="5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3"/>
            <w:vMerge w:val="continue"/>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Marketable securities—short-term</w:t>
            </w:r>
          </w:p>
        </w:tc>
        <w:tc>
          <w:tcPr>
            <w:tcW w:w="10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4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60" w:type="dxa"/>
            <w:vAlign w:val="bottom"/>
            <w:tcBorders>
              <w:top w:val="single" w:sz="8" w:color="auto"/>
            </w:tcBorders>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U.S. treasury and government agencies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6,709</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940" w:type="dxa"/>
            <w:vAlign w:val="bottom"/>
            <w:gridSpan w:val="4"/>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6,718</w:t>
            </w:r>
          </w:p>
        </w:tc>
        <w:tc>
          <w:tcPr>
            <w:tcW w:w="0" w:type="dxa"/>
            <w:vAlign w:val="bottom"/>
          </w:tcPr>
          <w:p>
            <w:pPr>
              <w:spacing w:after="0"/>
              <w:rPr>
                <w:sz w:val="1"/>
                <w:szCs w:val="1"/>
                <w:color w:val="auto"/>
              </w:rPr>
            </w:pPr>
          </w:p>
        </w:tc>
      </w:tr>
      <w:tr>
        <w:trPr>
          <w:trHeight w:val="216"/>
        </w:trPr>
        <w:tc>
          <w:tcPr>
            <w:tcW w:w="57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Corporate debt</w:t>
            </w:r>
          </w:p>
        </w:tc>
        <w:tc>
          <w:tcPr>
            <w:tcW w:w="10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19,254</w:t>
            </w: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19,302</w:t>
            </w:r>
          </w:p>
        </w:tc>
        <w:tc>
          <w:tcPr>
            <w:tcW w:w="0" w:type="dxa"/>
            <w:vAlign w:val="bottom"/>
          </w:tcPr>
          <w:p>
            <w:pPr>
              <w:spacing w:after="0"/>
              <w:rPr>
                <w:sz w:val="1"/>
                <w:szCs w:val="1"/>
                <w:color w:val="auto"/>
              </w:rPr>
            </w:pPr>
          </w:p>
        </w:tc>
      </w:tr>
      <w:tr>
        <w:trPr>
          <w:trHeight w:val="216"/>
        </w:trPr>
        <w:tc>
          <w:tcPr>
            <w:tcW w:w="5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Asset-backed securities</w:t>
            </w:r>
          </w:p>
        </w:tc>
        <w:tc>
          <w:tcPr>
            <w:tcW w:w="100" w:type="dxa"/>
            <w:vAlign w:val="bottom"/>
          </w:tcPr>
          <w:p>
            <w:pPr>
              <w:spacing w:after="0"/>
              <w:rPr>
                <w:sz w:val="18"/>
                <w:szCs w:val="18"/>
                <w:color w:val="auto"/>
              </w:rPr>
            </w:pP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10,423</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10,438</w:t>
            </w:r>
          </w:p>
        </w:tc>
        <w:tc>
          <w:tcPr>
            <w:tcW w:w="0" w:type="dxa"/>
            <w:vAlign w:val="bottom"/>
          </w:tcPr>
          <w:p>
            <w:pPr>
              <w:spacing w:after="0"/>
              <w:rPr>
                <w:sz w:val="1"/>
                <w:szCs w:val="1"/>
                <w:color w:val="auto"/>
              </w:rPr>
            </w:pPr>
          </w:p>
        </w:tc>
      </w:tr>
      <w:tr>
        <w:trPr>
          <w:trHeight w:val="216"/>
        </w:trPr>
        <w:tc>
          <w:tcPr>
            <w:tcW w:w="576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Yankee CD</w:t>
            </w:r>
          </w:p>
        </w:tc>
        <w:tc>
          <w:tcPr>
            <w:tcW w:w="10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1,201</w:t>
            </w:r>
          </w:p>
        </w:tc>
        <w:tc>
          <w:tcPr>
            <w:tcW w:w="40" w:type="dxa"/>
            <w:vAlign w:val="bottom"/>
            <w:tcBorders>
              <w:bottom w:val="single" w:sz="8" w:color="auto"/>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auto"/>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1,201</w:t>
            </w:r>
          </w:p>
        </w:tc>
        <w:tc>
          <w:tcPr>
            <w:tcW w:w="0" w:type="dxa"/>
            <w:vAlign w:val="bottom"/>
          </w:tcPr>
          <w:p>
            <w:pPr>
              <w:spacing w:after="0"/>
              <w:rPr>
                <w:sz w:val="1"/>
                <w:szCs w:val="1"/>
                <w:color w:val="auto"/>
              </w:rPr>
            </w:pPr>
          </w:p>
        </w:tc>
      </w:tr>
      <w:tr>
        <w:trPr>
          <w:trHeight w:val="210"/>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Total marketable securities—short-term</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37,587</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940" w:type="dxa"/>
            <w:vAlign w:val="bottom"/>
            <w:gridSpan w:val="4"/>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2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37,659</w:t>
            </w: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-3162300</wp:posOffset>
            </wp:positionV>
            <wp:extent cx="11112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-3145790</wp:posOffset>
            </wp:positionV>
            <wp:extent cx="11112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-3308350</wp:posOffset>
            </wp:positionV>
            <wp:extent cx="11112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-1465580</wp:posOffset>
            </wp:positionV>
            <wp:extent cx="7747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-1465580</wp:posOffset>
            </wp:positionV>
            <wp:extent cx="7747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-1465580</wp:posOffset>
            </wp:positionV>
            <wp:extent cx="7683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-170815</wp:posOffset>
            </wp:positionV>
            <wp:extent cx="8572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-170815</wp:posOffset>
            </wp:positionV>
            <wp:extent cx="7683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-170815</wp:posOffset>
            </wp:positionV>
            <wp:extent cx="7747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As of March 31, 2026, there were no available-for-sale securities with unrealized losses greater than 12 months. An allowance for credit losses was not required for available-for-sale securities as of March 31, 2026 and December 31, 2025.</w:t>
      </w:r>
    </w:p>
    <w:p>
      <w:pPr>
        <w:spacing w:after="0" w:line="16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As of March 31, 2026, the Company had no plans to sell securities with unrealized losses, and believes it is more likely than not that it would not be required to sell such securities before recovery of their amortized cost. For the three months ended March 31, 2026 and 2025, there were no material gains or losses from sales of available-for-sale securities.</w:t>
      </w:r>
    </w:p>
    <w:p>
      <w:pPr>
        <w:spacing w:after="0" w:line="176"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As of March 31, 2026 and December 31, 2025, accrued interest of $0.4 million and $0.3 million, respectively, is excluded from the amortized cost basis of available-for-sale securities in the tables above and is recorded in prepaid expenses and other current assets on the Condensed Balance Sheets.</w:t>
      </w:r>
    </w:p>
    <w:p>
      <w:pPr>
        <w:spacing w:after="0" w:line="162"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As of March 31, 2026, all marketable securities mature within two years, except for asset-backed securities. Asset-backed securities are not due at a single maturity date. As such, these securities were not included.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property and equipment, net consisted of the following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8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7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09"/>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2,569</w:t>
            </w:r>
          </w:p>
        </w:tc>
        <w:tc>
          <w:tcPr>
            <w:tcW w:w="4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2,569</w:t>
            </w: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280" w:type="dxa"/>
            <w:vAlign w:val="bottom"/>
          </w:tcPr>
          <w:p>
            <w:pPr>
              <w:spacing w:after="0"/>
              <w:rPr>
                <w:sz w:val="18"/>
                <w:szCs w:val="18"/>
                <w:color w:val="auto"/>
              </w:rPr>
            </w:pPr>
          </w:p>
        </w:tc>
        <w:tc>
          <w:tcPr>
            <w:tcW w:w="13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1,198</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1,069</w:t>
            </w: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28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3,927</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3,663</w:t>
            </w:r>
          </w:p>
        </w:tc>
      </w:tr>
      <w:tr>
        <w:trPr>
          <w:trHeight w:val="216"/>
        </w:trPr>
        <w:tc>
          <w:tcPr>
            <w:tcW w:w="774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Capitalized surgical equipment</w:t>
            </w:r>
            <w:r>
              <w:rPr>
                <w:rFonts w:ascii="Times New Roman" w:cs="Times New Roman" w:eastAsia="Times New Roman" w:hAnsi="Times New Roman"/>
                <w:sz w:val="24"/>
                <w:szCs w:val="24"/>
                <w:color w:val="auto"/>
                <w:vertAlign w:val="superscript"/>
              </w:rPr>
              <w:t>1</w:t>
            </w:r>
          </w:p>
        </w:tc>
        <w:tc>
          <w:tcPr>
            <w:tcW w:w="280" w:type="dxa"/>
            <w:vAlign w:val="bottom"/>
          </w:tcPr>
          <w:p>
            <w:pPr>
              <w:spacing w:after="0"/>
              <w:rPr>
                <w:sz w:val="18"/>
                <w:szCs w:val="18"/>
                <w:color w:val="auto"/>
              </w:rPr>
            </w:pPr>
          </w:p>
        </w:tc>
        <w:tc>
          <w:tcPr>
            <w:tcW w:w="13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34,958</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33,147</w:t>
            </w: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28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1,232</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1,225</w:t>
            </w: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80" w:type="dxa"/>
            <w:vAlign w:val="bottom"/>
          </w:tcPr>
          <w:p>
            <w:pPr>
              <w:spacing w:after="0"/>
              <w:rPr>
                <w:sz w:val="18"/>
                <w:szCs w:val="18"/>
                <w:color w:val="auto"/>
              </w:rPr>
            </w:pPr>
          </w:p>
        </w:tc>
        <w:tc>
          <w:tcPr>
            <w:tcW w:w="13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10,592</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10,591</w:t>
            </w:r>
          </w:p>
        </w:tc>
      </w:tr>
      <w:tr>
        <w:trPr>
          <w:trHeight w:val="216"/>
        </w:trPr>
        <w:tc>
          <w:tcPr>
            <w:tcW w:w="7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Software and website development</w:t>
            </w:r>
          </w:p>
        </w:tc>
        <w:tc>
          <w:tcPr>
            <w:tcW w:w="28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1,524</w:t>
            </w:r>
          </w:p>
        </w:tc>
        <w:tc>
          <w:tcPr>
            <w:tcW w:w="1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1,357</w:t>
            </w:r>
          </w:p>
        </w:tc>
      </w:tr>
      <w:tr>
        <w:trPr>
          <w:trHeight w:val="209"/>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280" w:type="dxa"/>
            <w:vAlign w:val="bottom"/>
          </w:tcPr>
          <w:p>
            <w:pPr>
              <w:spacing w:after="0"/>
              <w:rPr>
                <w:sz w:val="18"/>
                <w:szCs w:val="18"/>
                <w:color w:val="auto"/>
              </w:rPr>
            </w:pPr>
          </w:p>
        </w:tc>
        <w:tc>
          <w:tcPr>
            <w:tcW w:w="13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56,000</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53,621</w:t>
            </w:r>
          </w:p>
        </w:tc>
      </w:tr>
      <w:tr>
        <w:trPr>
          <w:trHeight w:val="216"/>
        </w:trPr>
        <w:tc>
          <w:tcPr>
            <w:tcW w:w="7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28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(23,937)</w:t>
            </w:r>
          </w:p>
        </w:tc>
        <w:tc>
          <w:tcPr>
            <w:tcW w:w="1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(23,869)</w:t>
            </w:r>
          </w:p>
        </w:tc>
      </w:tr>
      <w:tr>
        <w:trPr>
          <w:trHeight w:val="209"/>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32,063</w:t>
            </w: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29,752</w:t>
            </w:r>
          </w:p>
        </w:tc>
      </w:tr>
      <w:tr>
        <w:trPr>
          <w:trHeight w:val="20"/>
        </w:trPr>
        <w:tc>
          <w:tcPr>
            <w:tcW w:w="77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-453390</wp:posOffset>
            </wp:positionV>
            <wp:extent cx="11112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-170815</wp:posOffset>
            </wp:positionV>
            <wp:extent cx="11112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92" w:lineRule="exact"/>
        <w:rPr>
          <w:sz w:val="20"/>
          <w:szCs w:val="20"/>
          <w:color w:val="auto"/>
        </w:rPr>
      </w:pPr>
    </w:p>
    <w:p>
      <w:pPr>
        <w:ind w:right="80" w:firstLine="8"/>
        <w:spacing w:after="0" w:line="212" w:lineRule="auto"/>
        <w:tabs>
          <w:tab w:leader="none" w:pos="84" w:val="left"/>
        </w:tabs>
        <w:numPr>
          <w:ilvl w:val="0"/>
          <w:numId w:val="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Capitalized surgical equipment includes $29.0 million and $28.0 million that is ready for its intended use and have started depreciating and $6.0 million and $5.1 million that is not ready for its intended use and have not started depreciating as of March 31, 2026 and December 31, 2025, respectively.</w:t>
      </w:r>
    </w:p>
    <w:p>
      <w:pPr>
        <w:spacing w:after="0" w:line="18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Depreciation and amortization expense on property and equipment was $0.7 million and $2.2 million for the three months ended March 31, 2026 and 2025, respectively. The decrease in depreciation and amortization expense is from a change in useful life of capitalized surgical instruments. Refer to Note 2, "Summary of Significant Accounting Policies," for more information regarding the change in accounting estimate.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did not record impairment charges for its property and equipment, net for the three months ended March 31, 2026 and 2025.</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liabilities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liabilities consist of the following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40" w:type="dxa"/>
            <w:vAlign w:val="bottom"/>
          </w:tcPr>
          <w:p>
            <w:pPr>
              <w:spacing w:after="0"/>
              <w:rPr>
                <w:sz w:val="13"/>
                <w:szCs w:val="13"/>
                <w:color w:val="auto"/>
              </w:rPr>
            </w:pPr>
          </w:p>
        </w:tc>
        <w:tc>
          <w:tcPr>
            <w:tcW w:w="1120" w:type="dxa"/>
            <w:vAlign w:val="bottom"/>
          </w:tcPr>
          <w:p>
            <w:pPr>
              <w:jc w:val="center"/>
              <w:ind w:left="339"/>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tcPr>
          <w:p>
            <w:pPr>
              <w:jc w:val="center"/>
              <w:ind w:right="276"/>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740" w:type="dxa"/>
            <w:vAlign w:val="bottom"/>
          </w:tcPr>
          <w:p>
            <w:pPr>
              <w:spacing w:after="0"/>
              <w:rPr>
                <w:sz w:val="15"/>
                <w:szCs w:val="15"/>
                <w:color w:val="auto"/>
              </w:rPr>
            </w:pPr>
          </w:p>
        </w:tc>
        <w:tc>
          <w:tcPr>
            <w:tcW w:w="1120" w:type="dxa"/>
            <w:vAlign w:val="bottom"/>
            <w:tcBorders>
              <w:bottom w:val="single" w:sz="8" w:color="auto"/>
            </w:tcBorders>
          </w:tcPr>
          <w:p>
            <w:pPr>
              <w:jc w:val="center"/>
              <w:ind w:left="339"/>
              <w:spacing w:after="0"/>
              <w:rPr>
                <w:sz w:val="20"/>
                <w:szCs w:val="20"/>
                <w:color w:val="auto"/>
              </w:rPr>
            </w:pPr>
            <w:r>
              <w:rPr>
                <w:rFonts w:ascii="Times New Roman" w:cs="Times New Roman" w:eastAsia="Times New Roman" w:hAnsi="Times New Roman"/>
                <w:sz w:val="14"/>
                <w:szCs w:val="14"/>
                <w:b w:val="1"/>
                <w:bCs w:val="1"/>
                <w:color w:val="auto"/>
              </w:rPr>
              <w:t>2026</w:t>
            </w:r>
          </w:p>
        </w:tc>
        <w:tc>
          <w:tcPr>
            <w:tcW w:w="5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center"/>
              <w:ind w:right="256"/>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0"/>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royalties expense</w:t>
            </w:r>
          </w:p>
        </w:tc>
        <w:tc>
          <w:tcPr>
            <w:tcW w:w="1120" w:type="dxa"/>
            <w:vAlign w:val="bottom"/>
            <w:shd w:val="clear" w:color="auto" w:fill="CFF0FC"/>
          </w:tcPr>
          <w:p>
            <w:pPr>
              <w:jc w:val="right"/>
              <w:ind w:right="93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8"/>
              </w:rPr>
              <w:t>1,309</w:t>
            </w:r>
          </w:p>
        </w:tc>
        <w:tc>
          <w:tcPr>
            <w:tcW w:w="4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1,830</w:t>
            </w: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1120" w:type="dxa"/>
            <w:vAlign w:val="bottom"/>
          </w:tcPr>
          <w:p>
            <w:pPr>
              <w:spacing w:after="0"/>
              <w:rPr>
                <w:sz w:val="18"/>
                <w:szCs w:val="18"/>
                <w:color w:val="auto"/>
              </w:rPr>
            </w:pP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494</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239</w:t>
            </w: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professional services</w:t>
            </w:r>
          </w:p>
        </w:tc>
        <w:tc>
          <w:tcPr>
            <w:tcW w:w="1120" w:type="dxa"/>
            <w:vAlign w:val="bottom"/>
            <w:shd w:val="clear" w:color="auto" w:fill="CFF0FC"/>
          </w:tcPr>
          <w:p>
            <w:pPr>
              <w:spacing w:after="0"/>
              <w:rPr>
                <w:sz w:val="18"/>
                <w:szCs w:val="18"/>
                <w:color w:val="auto"/>
              </w:rPr>
            </w:pPr>
          </w:p>
        </w:tc>
        <w:tc>
          <w:tcPr>
            <w:tcW w:w="5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8"/>
              </w:rPr>
              <w:t>1,906</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1,532</w:t>
            </w: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Other accrued expense</w:t>
            </w:r>
          </w:p>
        </w:tc>
        <w:tc>
          <w:tcPr>
            <w:tcW w:w="1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98"/>
              </w:rPr>
              <w:t>2,269</w:t>
            </w: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2,183</w:t>
            </w:r>
          </w:p>
        </w:tc>
      </w:tr>
      <w:tr>
        <w:trPr>
          <w:trHeight w:val="250"/>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accrued liabilities</w:t>
            </w:r>
          </w:p>
        </w:tc>
        <w:tc>
          <w:tcPr>
            <w:tcW w:w="1120" w:type="dxa"/>
            <w:vAlign w:val="bottom"/>
            <w:shd w:val="clear" w:color="auto" w:fill="CFF0FC"/>
          </w:tcPr>
          <w:p>
            <w:pPr>
              <w:jc w:val="right"/>
              <w:ind w:right="93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8"/>
              </w:rPr>
              <w:t>5,978</w:t>
            </w:r>
          </w:p>
        </w:tc>
        <w:tc>
          <w:tcPr>
            <w:tcW w:w="4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5,784</w:t>
            </w:r>
          </w:p>
        </w:tc>
      </w:tr>
      <w:tr>
        <w:trPr>
          <w:trHeight w:val="521"/>
        </w:trPr>
        <w:tc>
          <w:tcPr>
            <w:tcW w:w="77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rPr>
              <w:t>Other liabilities</w:t>
            </w:r>
          </w:p>
        </w:tc>
        <w:tc>
          <w:tcPr>
            <w:tcW w:w="112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440" w:type="dxa"/>
            <w:vAlign w:val="bottom"/>
            <w:tcBorders>
              <w:top w:val="single" w:sz="8" w:color="auto"/>
            </w:tcBorders>
          </w:tcPr>
          <w:p>
            <w:pPr>
              <w:spacing w:after="0"/>
              <w:rPr>
                <w:sz w:val="24"/>
                <w:szCs w:val="24"/>
                <w:color w:val="auto"/>
              </w:rPr>
            </w:pPr>
          </w:p>
        </w:tc>
      </w:tr>
      <w:tr>
        <w:trPr>
          <w:trHeight w:val="324"/>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Other liabilities consist of the following (in thousands):</w:t>
            </w:r>
          </w:p>
        </w:tc>
        <w:tc>
          <w:tcPr>
            <w:tcW w:w="1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340"/>
        </w:trPr>
        <w:tc>
          <w:tcPr>
            <w:tcW w:w="7740" w:type="dxa"/>
            <w:vAlign w:val="bottom"/>
          </w:tcPr>
          <w:p>
            <w:pPr>
              <w:spacing w:after="0"/>
              <w:rPr>
                <w:sz w:val="24"/>
                <w:szCs w:val="24"/>
                <w:color w:val="auto"/>
              </w:rPr>
            </w:pPr>
          </w:p>
        </w:tc>
        <w:tc>
          <w:tcPr>
            <w:tcW w:w="1120" w:type="dxa"/>
            <w:vAlign w:val="bottom"/>
          </w:tcPr>
          <w:p>
            <w:pPr>
              <w:jc w:val="center"/>
              <w:ind w:left="339"/>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jc w:val="center"/>
              <w:ind w:right="276"/>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740" w:type="dxa"/>
            <w:vAlign w:val="bottom"/>
          </w:tcPr>
          <w:p>
            <w:pPr>
              <w:spacing w:after="0"/>
              <w:rPr>
                <w:sz w:val="15"/>
                <w:szCs w:val="15"/>
                <w:color w:val="auto"/>
              </w:rPr>
            </w:pPr>
          </w:p>
        </w:tc>
        <w:tc>
          <w:tcPr>
            <w:tcW w:w="1120" w:type="dxa"/>
            <w:vAlign w:val="bottom"/>
            <w:tcBorders>
              <w:bottom w:val="single" w:sz="8" w:color="auto"/>
            </w:tcBorders>
          </w:tcPr>
          <w:p>
            <w:pPr>
              <w:jc w:val="center"/>
              <w:ind w:left="339"/>
              <w:spacing w:after="0"/>
              <w:rPr>
                <w:sz w:val="20"/>
                <w:szCs w:val="20"/>
                <w:color w:val="auto"/>
              </w:rPr>
            </w:pPr>
            <w:r>
              <w:rPr>
                <w:rFonts w:ascii="Times New Roman" w:cs="Times New Roman" w:eastAsia="Times New Roman" w:hAnsi="Times New Roman"/>
                <w:sz w:val="14"/>
                <w:szCs w:val="14"/>
                <w:b w:val="1"/>
                <w:bCs w:val="1"/>
                <w:color w:val="auto"/>
              </w:rPr>
              <w:t>2026</w:t>
            </w:r>
          </w:p>
        </w:tc>
        <w:tc>
          <w:tcPr>
            <w:tcW w:w="5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center"/>
              <w:ind w:right="256"/>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0"/>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1120" w:type="dxa"/>
            <w:vAlign w:val="bottom"/>
            <w:shd w:val="clear" w:color="auto" w:fill="CFF0FC"/>
          </w:tcPr>
          <w:p>
            <w:pPr>
              <w:jc w:val="right"/>
              <w:ind w:right="93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457</w:t>
            </w:r>
          </w:p>
        </w:tc>
        <w:tc>
          <w:tcPr>
            <w:tcW w:w="4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552</w:t>
            </w:r>
          </w:p>
        </w:tc>
      </w:tr>
      <w:tr>
        <w:trPr>
          <w:trHeight w:val="216"/>
        </w:trPr>
        <w:tc>
          <w:tcPr>
            <w:tcW w:w="774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Short-term debt</w:t>
            </w:r>
            <w:r>
              <w:rPr>
                <w:rFonts w:ascii="Times New Roman" w:cs="Times New Roman" w:eastAsia="Times New Roman" w:hAnsi="Times New Roman"/>
                <w:sz w:val="24"/>
                <w:szCs w:val="24"/>
                <w:color w:val="auto"/>
                <w:vertAlign w:val="superscript"/>
              </w:rPr>
              <w:t>1</w:t>
            </w:r>
          </w:p>
        </w:tc>
        <w:tc>
          <w:tcPr>
            <w:tcW w:w="1120" w:type="dxa"/>
            <w:vAlign w:val="bottom"/>
          </w:tcPr>
          <w:p>
            <w:pPr>
              <w:spacing w:after="0"/>
              <w:rPr>
                <w:sz w:val="18"/>
                <w:szCs w:val="18"/>
                <w:color w:val="auto"/>
              </w:rPr>
            </w:pP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8"/>
              </w:rPr>
              <w:t>1,776</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1,745</w:t>
            </w:r>
          </w:p>
        </w:tc>
      </w:tr>
      <w:tr>
        <w:trPr>
          <w:trHeight w:val="216"/>
        </w:trPr>
        <w:tc>
          <w:tcPr>
            <w:tcW w:w="7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12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367</w:t>
            </w:r>
          </w:p>
        </w:tc>
        <w:tc>
          <w:tcPr>
            <w:tcW w:w="1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132</w:t>
            </w:r>
          </w:p>
        </w:tc>
      </w:tr>
      <w:tr>
        <w:trPr>
          <w:trHeight w:val="210"/>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Total other liabilities</w:t>
            </w:r>
          </w:p>
        </w:tc>
        <w:tc>
          <w:tcPr>
            <w:tcW w:w="1120" w:type="dxa"/>
            <w:vAlign w:val="bottom"/>
          </w:tcPr>
          <w:p>
            <w:pPr>
              <w:jc w:val="right"/>
              <w:ind w:right="93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8"/>
              </w:rPr>
              <w:t>2,600</w:t>
            </w: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2,429</w:t>
            </w:r>
          </w:p>
        </w:tc>
      </w:tr>
      <w:tr>
        <w:trPr>
          <w:trHeight w:val="20"/>
        </w:trPr>
        <w:tc>
          <w:tcPr>
            <w:tcW w:w="77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-1490980</wp:posOffset>
            </wp:positionV>
            <wp:extent cx="11112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-1473835</wp:posOffset>
            </wp:positionV>
            <wp:extent cx="11112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-170815</wp:posOffset>
            </wp:positionV>
            <wp:extent cx="11112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11125" cy="8890"/>
                    </a:xfrm>
                    <a:prstGeom prst="rect">
                      <a:avLst/>
                    </a:prstGeom>
                    <a:noFill/>
                  </pic:spPr>
                </pic:pic>
              </a:graphicData>
            </a:graphic>
          </wp:anchor>
        </w:drawing>
      </w:r>
    </w:p>
    <w:p>
      <w:pPr>
        <w:spacing w:after="0" w:line="92" w:lineRule="exact"/>
        <w:rPr>
          <w:sz w:val="20"/>
          <w:szCs w:val="20"/>
          <w:color w:val="auto"/>
        </w:rPr>
      </w:pPr>
    </w:p>
    <w:p>
      <w:pPr>
        <w:ind w:right="180" w:firstLine="8"/>
        <w:spacing w:after="0" w:line="215" w:lineRule="auto"/>
        <w:tabs>
          <w:tab w:leader="none" w:pos="63" w:val="left"/>
        </w:tabs>
        <w:numPr>
          <w:ilvl w:val="0"/>
          <w:numId w:val="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See Note 6, "Long-Term Debt," for information regarding the legal cost financing related to the lawsuit against Stryker Corporation and its subsidiary Wright Medical Technology, Inc. Short-term debt includes $1.6 million and $1.1 million in financed legal costs as of March 31, 2026 and December 31, 2025, respectively, and reflects the amount that may be called within the next twelve months. In addition, short-term debt includes $0.2 million and $0.6 million of insurance premiums payable over the next three months and six months, respectively.</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6. Long-Term Debt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long-term debt consisted of the following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7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2026</w:t>
            </w:r>
          </w:p>
        </w:tc>
        <w:tc>
          <w:tcPr>
            <w:tcW w:w="2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09"/>
        </w:trPr>
        <w:tc>
          <w:tcPr>
            <w:tcW w:w="7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Term loan</w:t>
            </w:r>
          </w:p>
        </w:tc>
        <w:tc>
          <w:tcPr>
            <w:tcW w:w="6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SLR term loan facility</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60,000</w:t>
            </w: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60,000</w:t>
            </w:r>
          </w:p>
        </w:tc>
        <w:tc>
          <w:tcPr>
            <w:tcW w:w="0" w:type="dxa"/>
            <w:vAlign w:val="bottom"/>
          </w:tcPr>
          <w:p>
            <w:pPr>
              <w:spacing w:after="0"/>
              <w:rPr>
                <w:sz w:val="1"/>
                <w:szCs w:val="1"/>
                <w:color w:val="auto"/>
              </w:rPr>
            </w:pPr>
          </w:p>
        </w:tc>
      </w:tr>
      <w:tr>
        <w:trPr>
          <w:trHeight w:val="216"/>
        </w:trPr>
        <w:tc>
          <w:tcPr>
            <w:tcW w:w="71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debt discount and issuance costs</w:t>
            </w:r>
          </w:p>
        </w:tc>
        <w:tc>
          <w:tcPr>
            <w:tcW w:w="6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(4,180)</w:t>
            </w:r>
          </w:p>
        </w:tc>
        <w:tc>
          <w:tcPr>
            <w:tcW w:w="1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(4,417)</w:t>
            </w:r>
          </w:p>
        </w:tc>
        <w:tc>
          <w:tcPr>
            <w:tcW w:w="0" w:type="dxa"/>
            <w:vAlign w:val="bottom"/>
          </w:tcPr>
          <w:p>
            <w:pPr>
              <w:spacing w:after="0"/>
              <w:rPr>
                <w:sz w:val="1"/>
                <w:szCs w:val="1"/>
                <w:color w:val="auto"/>
              </w:rPr>
            </w:pPr>
          </w:p>
        </w:tc>
      </w:tr>
      <w:tr>
        <w:trPr>
          <w:trHeight w:val="209"/>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Total long-term debt, net</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55,820</w:t>
            </w: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55,583</w:t>
            </w:r>
          </w:p>
        </w:tc>
        <w:tc>
          <w:tcPr>
            <w:tcW w:w="0" w:type="dxa"/>
            <w:vAlign w:val="bottom"/>
          </w:tcPr>
          <w:p>
            <w:pPr>
              <w:spacing w:after="0"/>
              <w:rPr>
                <w:sz w:val="1"/>
                <w:szCs w:val="1"/>
                <w:color w:val="auto"/>
              </w:rPr>
            </w:pPr>
          </w:p>
        </w:tc>
      </w:tr>
      <w:tr>
        <w:trPr>
          <w:trHeight w:val="20"/>
        </w:trPr>
        <w:tc>
          <w:tcPr>
            <w:tcW w:w="7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As of March 31, 2026, future payments of long-term debt were as follows (in thousands):</w:t>
            </w:r>
          </w:p>
        </w:tc>
        <w:tc>
          <w:tcPr>
            <w:tcW w:w="6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100" w:type="dxa"/>
            <w:vAlign w:val="bottom"/>
            <w:vMerge w:val="continue"/>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7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6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7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6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6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1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2030</w:t>
            </w:r>
          </w:p>
        </w:tc>
        <w:tc>
          <w:tcPr>
            <w:tcW w:w="6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CFF0FC"/>
            </w:tcBorders>
            <w:shd w:val="clear" w:color="auto" w:fill="CFF0FC"/>
          </w:tcPr>
          <w:p>
            <w:pPr>
              <w:spacing w:after="0"/>
              <w:rPr>
                <w:sz w:val="18"/>
                <w:szCs w:val="18"/>
                <w:color w:val="auto"/>
              </w:rPr>
            </w:pPr>
          </w:p>
        </w:tc>
        <w:tc>
          <w:tcPr>
            <w:tcW w:w="110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60,000</w:t>
            </w:r>
          </w:p>
        </w:tc>
        <w:tc>
          <w:tcPr>
            <w:tcW w:w="0" w:type="dxa"/>
            <w:vAlign w:val="bottom"/>
          </w:tcPr>
          <w:p>
            <w:pPr>
              <w:spacing w:after="0"/>
              <w:rPr>
                <w:sz w:val="1"/>
                <w:szCs w:val="1"/>
                <w:color w:val="auto"/>
              </w:rPr>
            </w:pPr>
          </w:p>
        </w:tc>
      </w:tr>
      <w:tr>
        <w:trPr>
          <w:trHeight w:val="209"/>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Total principal payments</w:t>
            </w: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60,000</w:t>
            </w:r>
          </w:p>
        </w:tc>
        <w:tc>
          <w:tcPr>
            <w:tcW w:w="0" w:type="dxa"/>
            <w:vAlign w:val="bottom"/>
          </w:tcPr>
          <w:p>
            <w:pPr>
              <w:spacing w:after="0"/>
              <w:rPr>
                <w:sz w:val="1"/>
                <w:szCs w:val="1"/>
                <w:color w:val="auto"/>
              </w:rPr>
            </w:pPr>
          </w:p>
        </w:tc>
      </w:tr>
      <w:tr>
        <w:trPr>
          <w:trHeight w:val="216"/>
        </w:trPr>
        <w:tc>
          <w:tcPr>
            <w:tcW w:w="71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Unamortized debt discount and debt issuance costs</w:t>
            </w:r>
          </w:p>
        </w:tc>
        <w:tc>
          <w:tcPr>
            <w:tcW w:w="6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CFF0FC"/>
            </w:tcBorders>
            <w:shd w:val="clear" w:color="auto" w:fill="CFF0FC"/>
          </w:tcPr>
          <w:p>
            <w:pPr>
              <w:spacing w:after="0"/>
              <w:rPr>
                <w:sz w:val="18"/>
                <w:szCs w:val="18"/>
                <w:color w:val="auto"/>
              </w:rPr>
            </w:pPr>
          </w:p>
        </w:tc>
        <w:tc>
          <w:tcPr>
            <w:tcW w:w="110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(4,180)</w:t>
            </w:r>
          </w:p>
        </w:tc>
        <w:tc>
          <w:tcPr>
            <w:tcW w:w="0" w:type="dxa"/>
            <w:vAlign w:val="bottom"/>
          </w:tcPr>
          <w:p>
            <w:pPr>
              <w:spacing w:after="0"/>
              <w:rPr>
                <w:sz w:val="1"/>
                <w:szCs w:val="1"/>
                <w:color w:val="auto"/>
              </w:rPr>
            </w:pPr>
          </w:p>
        </w:tc>
      </w:tr>
      <w:tr>
        <w:trPr>
          <w:trHeight w:val="210"/>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Total long-term debt, net</w:t>
            </w: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55,820</w:t>
            </w: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-1824990</wp:posOffset>
            </wp:positionV>
            <wp:extent cx="11112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SLR Term Loan and Revolving Loan Facility</w:t>
      </w:r>
    </w:p>
    <w:p>
      <w:pPr>
        <w:spacing w:after="0" w:line="121" w:lineRule="exact"/>
        <w:rPr>
          <w:sz w:val="20"/>
          <w:szCs w:val="20"/>
          <w:color w:val="auto"/>
        </w:rPr>
      </w:pPr>
    </w:p>
    <w:p>
      <w:pPr>
        <w:jc w:val="both"/>
        <w:ind w:right="40"/>
        <w:spacing w:after="0" w:line="282" w:lineRule="auto"/>
        <w:rPr>
          <w:sz w:val="20"/>
          <w:szCs w:val="20"/>
          <w:color w:val="auto"/>
        </w:rPr>
      </w:pPr>
      <w:r>
        <w:rPr>
          <w:rFonts w:ascii="Times New Roman" w:cs="Times New Roman" w:eastAsia="Times New Roman" w:hAnsi="Times New Roman"/>
          <w:sz w:val="18"/>
          <w:szCs w:val="18"/>
          <w:color w:val="auto"/>
        </w:rPr>
        <w:t>On December 17, 2025, the Company entered into a term loan agreement with SLR Investment Corp. ("SLRIC") and several affiliates and a revolving loan agreement with Gemino Healthcare Finance, LLC d/b/a SLR Healthcare ABL ("SLR ABL" and collectively with SLRIC, referred to as "SLR").</w:t>
      </w:r>
    </w:p>
    <w:p>
      <w:pPr>
        <w:spacing w:after="0" w:line="162"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term loan agreement provides a 60 month term loan facility for up to $125.0 million in borrowing capacity to the Company over four tranches. At closing, the Company borrowed $60.0 million under tranche one. The remaining three tranches provide up to an additional $65.0 million, of which $10.0 million (tranche two) is available immediately and $55.0 million is subject to achievement of certain revenue objectives.</w:t>
      </w:r>
    </w:p>
    <w:p>
      <w:pPr>
        <w:spacing w:after="0" w:line="176"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revolving loan agreement provides a 60 month revolving loan facility for up to $30.0 million in additional borrowing capacity. The amount available is based on a borrowing base calculation determined by the Company's accounts receivable and inventory assets. The borrowing base at March 31, 2026 was $20.6 million. The Company may request SLR ABL to approve two additional $10.0 million increases for a total commitment of $50.0 million. As of March 31, 2026, the Company had not drawn on the revolving loan facility.</w:t>
      </w:r>
    </w:p>
    <w:p>
      <w:pPr>
        <w:spacing w:after="0" w:line="18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term loan bears interest at a rate per annum equal to the 1-Month SOFR plus 5.05%. The 1-Month SOFR is the greater of (1) the forward looking term rate based on the one month tenor and (2) 3.0% per annum, with the rate reset monthly. The revolving loan bears interest at a rate per annum equal to the 3-Month SOFR plus 4.0%. The 3-Month SOFR is the greater of (1) the forward looking term rate based on the three month tenor and (2) 3.0% per annum, with the rate reset daily. The interest is payable monthly in arrears on the first day of each month and on the maturity of the loans. The Company is obligated to pay interest only for the first 48 months and straight-line amortization for the remaining 12 months, subject to the Company's election to extend the initial interest-only period by 12 months to 60 months total, subject to the Company's achievement of a trailing 12-month EBITDA objective measured as of September 30, 2029.</w:t>
      </w:r>
    </w:p>
    <w:p>
      <w:pPr>
        <w:spacing w:after="0" w:line="18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Company pays a servicing collateral monitoring fee of 1.2% per annum on the average borrowing base and an unused line fee equal to 0.5% per annum on the average unused portion of the commitment. The revolving loan facility agreement provides for SLR ABL to control the Company's lockbox account in the event that the Company begins to draw on the revolving loan. If the Company draws on the revolving loan, the lockbox receipts sweep to the lender and reduce the revolving loan's outstanding balance.</w:t>
      </w:r>
    </w:p>
    <w:p>
      <w:pPr>
        <w:spacing w:after="0" w:line="180"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The Company is obligated to pay a $0.4 million fee payable on the earlier of funding tranche two, June 30, 2027, or the prepayment of the term loan and a $0.2 million fee payable on the earlier of funding tranche three, March 31, 2028, or the prepayment of the term loan. In addition, the term loan has a final payment fee of 3.95% of the amount borrowed under the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color w:val="auto"/>
        </w:rPr>
        <w:t>term loan. These fees are recorded as debt issuance costs related to the term loan and within Other long-term liabilities on the Condensed Balance Sheets.</w:t>
      </w:r>
    </w:p>
    <w:p>
      <w:pPr>
        <w:spacing w:after="0" w:line="22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If the term loan is repaid before final maturity or the revolving loan facility is terminated before the end of its term, the Company pays a prepayment fee of 3.0% of the term loan balance or the commitment amount in the first year, 2.0% in the second year and 1.0% in the third year and thereafter. The prepayment fees are waived if the Company refinances the outstanding balances with SLR or its affiliates.</w:t>
      </w:r>
    </w:p>
    <w:p>
      <w:pPr>
        <w:spacing w:after="0" w:line="176"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loans are secured by substantially all of the Company's assets, including intellectual property. The loan agreements contain customary representations and warranties and affirmative and negative covenants. The Company is required to meet a minimum liquidity requirement that the Company's cash and cash equivalents and marketable securities held subject to control agreements in favor of the lenders exceed 60% of the term loan outstanding. If the minimum liquidity requirement is not met, the Company must meet certain minimum revenue covenants. The Company meets the minimum liquidity requirement at March 31, 2026.</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Cost Financing</w:t>
      </w:r>
    </w:p>
    <w:p>
      <w:pPr>
        <w:spacing w:after="0" w:line="12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On March 25, 2025, the Company entered into an agreement with its primary legal counsel related to the pending patent and unfair competition dispute with Stryker Corporation and its subsidiary Wright Medical Technology, Inc. (collectively, "Stryker") to defer payment of certain legal costs incurred in 2025 and 2026 related to the dispute. The agreement anticipates that the amount financed by the Company would not exceed $5.0 million over this two-year period. The deferred portion of the legal costs bear interest at 10% per annum. The total principal and interest financed is scheduled to be repaid in twelve equal monthly installments beginning January 2027. However, if certain thresholds for the currently paid portion of legal costs are not reached in 2025 and 2026, primary counsel has the option to require a portion of the deferred balances up to the current threshold amount to be reallocated to currently due. The amount of legal costs that are not deferred are due according to normal billing terms and are subject to certain contractual thresholds. All current and deferred legal costs are expensed as incurred. All amounts financed as of March 31, 2026 are classified as current debt and are included in Other liabilities on the Condensed Balance Sheets as the primary legal counsel has the option to reallocate the deferred legal costs to currently due up to the threshold. See Note 5, "Balance Sheet Components," for additional information on the amounts of the deferred legal costs.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and Royalty Commitments</w:t>
      </w:r>
    </w:p>
    <w:p>
      <w:pPr>
        <w:spacing w:after="0" w:line="121"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 Company has entered into product development and fee for service agreements with members of its Surgeon Advisory Board and other surgeon consultants that specify the terms under which the consultant is compensated for his or her consulting services and grants the Company rights to the intellectual property created by the consultant in the course of such services. As products are commercialized with the assistance of members of the Surgeon Advisory Board and other surgeon consultants, the Company may agree to enter into a royalty agreement if such consultant's contributions to the product are novel, significant and innovative.</w:t>
      </w:r>
    </w:p>
    <w:p>
      <w:pPr>
        <w:spacing w:after="0" w:line="183"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As of March 31, 2026 and 2025, the Company has royalty agreements with certain surgeon consultants. The Company recognized royalty expense for the three months ended March 31, 2026 and 2025 of $1.2 million and $1.6 million, respectively, resulting in an aggregate royalty rate of 2.5% and 3.1%, respectively.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accordance with applicable accounting standards, the Company establishes an accrued liability for litigation contingencies when those matters present loss contingencies that are both probable and can be reasonably estimated. The Company discloses the nature of the contingency when management believes there is at least a reasonable possibility that the outcome may be material to the Company’s financial statements and, where feasible, an estimate of the possible loss. In such cases, there still may be an exposure to loss in excess of any amounts reasonably estimated and accrued. When a loss contingency is not both probable and reasonably estimable, the Company does not establish an accrued liability, but continues to monitor, in conjunction with any outside counsel handling a matter, further developments that would make such loss contingency both probable and reasonably estimable. Once the Company establishes an accrued liability with respect to a loss contingency, the Company continues to monitor the matter for further developments that could affect the amount of the accrued liability that has been previously established, and any appropriate adjustments are made each quarter.</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6" w:name="page17"/>
    <w:bookmarkEnd w:id="16"/>
    <w:p>
      <w:pPr>
        <w:spacing w:after="0" w:line="254" w:lineRule="auto"/>
        <w:rPr>
          <w:sz w:val="20"/>
          <w:szCs w:val="20"/>
          <w:color w:val="auto"/>
        </w:rPr>
      </w:pPr>
      <w:r>
        <w:rPr>
          <w:rFonts w:ascii="Times New Roman" w:cs="Times New Roman" w:eastAsia="Times New Roman" w:hAnsi="Times New Roman"/>
          <w:sz w:val="18"/>
          <w:szCs w:val="18"/>
          <w:color w:val="auto"/>
        </w:rPr>
        <w:t xml:space="preserve">On April 11, 2025, a shareholder filed a class action complaint in the United States District Court for the Middle District of Florida (captioned </w:t>
      </w:r>
      <w:r>
        <w:rPr>
          <w:rFonts w:ascii="Times New Roman" w:cs="Times New Roman" w:eastAsia="Times New Roman" w:hAnsi="Times New Roman"/>
          <w:sz w:val="18"/>
          <w:szCs w:val="18"/>
          <w:i w:val="1"/>
          <w:iCs w:val="1"/>
          <w:color w:val="auto"/>
        </w:rPr>
        <w:t>McCluney 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Treace Medical Concepts, Inc. et al. </w:t>
      </w:r>
      <w:r>
        <w:rPr>
          <w:rFonts w:ascii="Times New Roman" w:cs="Times New Roman" w:eastAsia="Times New Roman" w:hAnsi="Times New Roman"/>
          <w:sz w:val="18"/>
          <w:szCs w:val="18"/>
          <w:color w:val="auto"/>
        </w:rPr>
        <w:t>Case No. 3:25-cv-00390-WWB-PDB) against the Company and certain of its officers on behalf of all persons who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purchased or otherwise acquired the Company’s stock between May 8, 2023 and May 7, 2024 alleging that the Company and certain of its officers violated federal securities laws by making false or misleading statements and failing to disclose material adverse facts about the Company's business, operations and prospects. The plaintiffs seek unspecified monetary damages, costs, and attorneys’ fees. On July 1, 2025, the court appointed the lead plaintiff and lead counsel. The plaintiff filed an amended complaint on July 31, 2025, and the Company filed a motion to dismiss on September 5, 2025. The action is in the preliminary stage. The Company disputes the allegations in the complaint and intends to defend against this complaint vigorously. Based on the preliminary nature of the proceedings in this action, the outcome remains uncertain, and the Company cannot reasonably estimate the potential impact, if any, on its business or financial statements at this time. The Company is insured for Directors and Officers liability for amounts in excess of the retention and up to the policy limits.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accrued contingent liabilities as of March 31, 2026 and December 31, 2025.</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Stockholders’ Equity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months ended March 31, 2026 and 2025 the Company did not grant stock options to employees.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12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2026 and 2025, the Company granted 3,092,850 and 1,938,595 restricted stock units ("RSUs"), respectively. The weighted average grant-date fair value of RSUs granted during the three months ended March 31, 2026 and 2025 was $2.62 and $9.33 per share, respectively.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Share Units</w:t>
      </w:r>
    </w:p>
    <w:p>
      <w:pPr>
        <w:spacing w:after="0" w:line="121"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The Company grants primarily market condition PSU awards subject to market and service vesting conditions to certain executives under the Company's 2021 Incentive Award Plan. The actual number of PSUs that will vest at the end of the measurement period is determined based on the Company's total stockholder return ("TSR") ranking relative to the TSR of a published index of the Company's peers. The measurement period for its outstanding awards is three years. The grant date fair value of each target PSU award was determined using a Monte Carlo valuation model. Over the performance period, if the service vesting conditions are met, the actual number of PSUs earned may vary from zero, if performance thresholds are not met, to as much as 200%. In 2025, the Company issued a small number of PSU awards that vest on other performance conditions. The fair value of these PSUs is based on the stock price on the grant date and expense is recognized if the performance condition is probable of occurring. The service requirement for these awards is up to approximately 3 years; however, the employee must remain employed at the time the performance condition is met to receive the award.</w:t>
      </w:r>
    </w:p>
    <w:p>
      <w:pPr>
        <w:spacing w:after="0" w:line="192"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2026 and 2025, the Company granted PSUs for 876,250 and 560,625 shares, respectively, at target performance levels. The weighted average grant-date fair value of the PSUs granted during the three months ended March 31, 2026 and 2025 was $3.29 and $11.17 per share, respectively.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 Expense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Share-based compensation expense is reflected in the Condensed Statements of Operations and Comprehensive Loss as follows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06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2860" w:type="dxa"/>
            <w:vAlign w:val="bottom"/>
            <w:tcBorders>
              <w:bottom w:val="single" w:sz="8" w:color="auto"/>
            </w:tcBorders>
            <w:gridSpan w:val="4"/>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40" w:type="dxa"/>
            <w:vAlign w:val="bottom"/>
            <w:tcBorders>
              <w:bottom w:val="single" w:sz="8" w:color="auto"/>
            </w:tcBorders>
          </w:tcPr>
          <w:p>
            <w:pPr>
              <w:spacing w:after="0"/>
              <w:rPr>
                <w:sz w:val="15"/>
                <w:szCs w:val="15"/>
                <w:color w:val="auto"/>
              </w:rPr>
            </w:pPr>
          </w:p>
        </w:tc>
      </w:tr>
      <w:tr>
        <w:trPr>
          <w:trHeight w:val="142"/>
        </w:trPr>
        <w:tc>
          <w:tcPr>
            <w:tcW w:w="406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02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64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40" w:type="dxa"/>
            <w:vAlign w:val="bottom"/>
            <w:tcBorders>
              <w:bottom w:val="single" w:sz="8" w:color="auto"/>
            </w:tcBorders>
          </w:tcPr>
          <w:p>
            <w:pPr>
              <w:spacing w:after="0"/>
              <w:rPr>
                <w:sz w:val="12"/>
                <w:szCs w:val="12"/>
                <w:color w:val="auto"/>
              </w:rPr>
            </w:pPr>
          </w:p>
        </w:tc>
      </w:tr>
      <w:tr>
        <w:trPr>
          <w:trHeight w:val="210"/>
        </w:trPr>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4700" w:type="dxa"/>
            <w:vAlign w:val="bottom"/>
            <w:gridSpan w:val="2"/>
            <w:shd w:val="clear" w:color="auto" w:fill="CFF0FC"/>
          </w:tcPr>
          <w:p>
            <w:pPr>
              <w:jc w:val="right"/>
              <w:ind w:right="848"/>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115</w:t>
            </w:r>
          </w:p>
        </w:tc>
        <w:tc>
          <w:tcPr>
            <w:tcW w:w="1200" w:type="dxa"/>
            <w:vAlign w:val="bottom"/>
            <w:gridSpan w:val="2"/>
            <w:shd w:val="clear" w:color="auto" w:fill="CFF0FC"/>
          </w:tcPr>
          <w:p>
            <w:pPr>
              <w:jc w:val="right"/>
              <w:ind w:right="868"/>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99</w:t>
            </w: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 expense</w:t>
            </w:r>
          </w:p>
        </w:tc>
        <w:tc>
          <w:tcPr>
            <w:tcW w:w="36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1,853</w:t>
            </w: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1,414</w:t>
            </w:r>
          </w:p>
        </w:tc>
      </w:tr>
      <w:tr>
        <w:trPr>
          <w:trHeight w:val="216"/>
        </w:trPr>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 expense</w:t>
            </w:r>
          </w:p>
        </w:tc>
        <w:tc>
          <w:tcPr>
            <w:tcW w:w="36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6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961</w:t>
            </w:r>
          </w:p>
        </w:tc>
        <w:tc>
          <w:tcPr>
            <w:tcW w:w="1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6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1,125</w:t>
            </w: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368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5,105</w:t>
            </w:r>
          </w:p>
        </w:tc>
        <w:tc>
          <w:tcPr>
            <w:tcW w:w="18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6,055</w:t>
            </w:r>
          </w:p>
        </w:tc>
      </w:tr>
      <w:tr>
        <w:trPr>
          <w:trHeight w:val="249"/>
        </w:trPr>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4700" w:type="dxa"/>
            <w:vAlign w:val="bottom"/>
            <w:gridSpan w:val="2"/>
            <w:shd w:val="clear" w:color="auto" w:fill="CFF0FC"/>
          </w:tcPr>
          <w:p>
            <w:pPr>
              <w:jc w:val="right"/>
              <w:ind w:right="848"/>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8,034</w:t>
            </w:r>
          </w:p>
        </w:tc>
        <w:tc>
          <w:tcPr>
            <w:tcW w:w="1200" w:type="dxa"/>
            <w:vAlign w:val="bottom"/>
            <w:gridSpan w:val="2"/>
            <w:shd w:val="clear" w:color="auto" w:fill="CFF0FC"/>
          </w:tcPr>
          <w:p>
            <w:pPr>
              <w:jc w:val="right"/>
              <w:ind w:right="868"/>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8,693</w:t>
            </w:r>
          </w:p>
        </w:tc>
      </w:tr>
      <w:tr>
        <w:trPr>
          <w:trHeight w:val="628"/>
        </w:trPr>
        <w:tc>
          <w:tcPr>
            <w:tcW w:w="4060" w:type="dxa"/>
            <w:vAlign w:val="bottom"/>
            <w:tcBorders>
              <w:top w:val="single" w:sz="8" w:color="CFF0FC"/>
            </w:tcBorders>
          </w:tcPr>
          <w:p>
            <w:pPr>
              <w:spacing w:after="0"/>
              <w:rPr>
                <w:sz w:val="24"/>
                <w:szCs w:val="24"/>
                <w:color w:val="auto"/>
              </w:rPr>
            </w:pPr>
          </w:p>
        </w:tc>
        <w:tc>
          <w:tcPr>
            <w:tcW w:w="3680" w:type="dxa"/>
            <w:vAlign w:val="bottom"/>
            <w:tcBorders>
              <w:top w:val="single" w:sz="8" w:color="CFF0FC"/>
            </w:tcBorders>
          </w:tcPr>
          <w:p>
            <w:pPr>
              <w:jc w:val="right"/>
              <w:ind w:right="1930"/>
              <w:spacing w:after="0"/>
              <w:rPr>
                <w:sz w:val="20"/>
                <w:szCs w:val="20"/>
                <w:color w:val="auto"/>
              </w:rPr>
            </w:pPr>
            <w:r>
              <w:rPr>
                <w:rFonts w:ascii="Times New Roman" w:cs="Times New Roman" w:eastAsia="Times New Roman" w:hAnsi="Times New Roman"/>
                <w:sz w:val="18"/>
                <w:szCs w:val="18"/>
                <w:color w:val="auto"/>
              </w:rPr>
              <w:t>15</w:t>
            </w:r>
          </w:p>
        </w:tc>
        <w:tc>
          <w:tcPr>
            <w:tcW w:w="102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r>
      <w:tr>
        <w:trPr>
          <w:trHeight w:val="763"/>
        </w:trPr>
        <w:tc>
          <w:tcPr>
            <w:tcW w:w="406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-933450</wp:posOffset>
            </wp:positionV>
            <wp:extent cx="11112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-916305</wp:posOffset>
            </wp:positionV>
            <wp:extent cx="11112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ectPr>
          <w:pgSz w:w="11900" w:h="16838" w:orient="portrait"/>
          <w:cols w:equalWidth="0" w:num="1">
            <w:col w:w="11240"/>
          </w:cols>
          <w:pgMar w:left="320" w:top="1307"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9. Net Loss Per Share Attributable to Common Stockholders</w:t>
      </w:r>
    </w:p>
    <w:p>
      <w:pPr>
        <w:spacing w:after="0" w:line="12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following table sets forth the computation of basic and diluted net loss per share attributable to common stockholders which is computed by dividing the net loss attributable to common stockholders by the weighted-average number of shares of common stock outstanding for the period. As the Company reported a net loss for the three months ended March 31, 2026 and 2025, basic net loss per share attributable to common stockholders was the same as diluted net loss per share attributable to common stockholders as the inclusion of potentially dilutive shares would have been antidilutive if included in the calculation (in thousands, except share and per share amounts):</w:t>
      </w:r>
    </w:p>
    <w:p>
      <w:pPr>
        <w:spacing w:after="0" w:line="177"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42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3220" w:type="dxa"/>
            <w:vAlign w:val="bottom"/>
            <w:tcBorders>
              <w:bottom w:val="single" w:sz="8" w:color="auto"/>
            </w:tcBorders>
            <w:gridSpan w:val="4"/>
          </w:tcPr>
          <w:p>
            <w:pPr>
              <w:jc w:val="right"/>
              <w:ind w:right="775"/>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ind w:right="697"/>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2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ind w:right="67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Numerator</w:t>
            </w:r>
          </w:p>
        </w:tc>
        <w:tc>
          <w:tcPr>
            <w:tcW w:w="2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4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(17,961)</w:t>
            </w:r>
          </w:p>
        </w:tc>
        <w:tc>
          <w:tcPr>
            <w:tcW w:w="5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Denominator</w:t>
            </w:r>
          </w:p>
        </w:tc>
        <w:tc>
          <w:tcPr>
            <w:tcW w:w="2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4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Weighted-average common stock outstanding,</w:t>
            </w:r>
          </w:p>
        </w:tc>
        <w:tc>
          <w:tcPr>
            <w:tcW w:w="2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40" w:type="dxa"/>
            <w:vAlign w:val="bottom"/>
            <w:vMerge w:val="restart"/>
          </w:tcPr>
          <w:p>
            <w:pPr>
              <w:jc w:val="right"/>
              <w:ind w:right="57"/>
              <w:spacing w:after="0"/>
              <w:rPr>
                <w:sz w:val="20"/>
                <w:szCs w:val="20"/>
                <w:color w:val="auto"/>
              </w:rPr>
            </w:pPr>
            <w:r>
              <w:rPr>
                <w:rFonts w:ascii="Times New Roman" w:cs="Times New Roman" w:eastAsia="Times New Roman" w:hAnsi="Times New Roman"/>
                <w:sz w:val="18"/>
                <w:szCs w:val="18"/>
                <w:color w:val="auto"/>
              </w:rPr>
              <w:t>64,592,681</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vMerge w:val="restart"/>
          </w:tcPr>
          <w:p>
            <w:pPr>
              <w:jc w:val="right"/>
              <w:ind w:right="35"/>
              <w:spacing w:after="0"/>
              <w:rPr>
                <w:sz w:val="20"/>
                <w:szCs w:val="20"/>
                <w:color w:val="auto"/>
              </w:rPr>
            </w:pPr>
            <w:r>
              <w:rPr>
                <w:rFonts w:ascii="Times New Roman" w:cs="Times New Roman" w:eastAsia="Times New Roman" w:hAnsi="Times New Roman"/>
                <w:sz w:val="18"/>
                <w:szCs w:val="18"/>
                <w:color w:val="auto"/>
              </w:rPr>
              <w:t>62,661,447</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basic and diluted</w:t>
            </w:r>
          </w:p>
        </w:tc>
        <w:tc>
          <w:tcPr>
            <w:tcW w:w="2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vMerge w:val="continue"/>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42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Net loss per share attributable to common</w:t>
            </w:r>
          </w:p>
        </w:tc>
        <w:tc>
          <w:tcPr>
            <w:tcW w:w="2100" w:type="dxa"/>
            <w:vAlign w:val="bottom"/>
            <w:vMerge w:val="restart"/>
            <w:shd w:val="clear" w:color="auto" w:fill="CFF0FC"/>
          </w:tcPr>
          <w:p>
            <w:pPr>
              <w:spacing w:after="0"/>
              <w:rPr>
                <w:sz w:val="16"/>
                <w:szCs w:val="16"/>
                <w:color w:val="auto"/>
              </w:rPr>
            </w:pPr>
          </w:p>
        </w:tc>
        <w:tc>
          <w:tcPr>
            <w:tcW w:w="360" w:type="dxa"/>
            <w:vAlign w:val="bottom"/>
            <w:vMerge w:val="restart"/>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560" w:type="dxa"/>
            <w:vAlign w:val="bottom"/>
            <w:gridSpan w:val="2"/>
            <w:vMerge w:val="restart"/>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420" w:type="dxa"/>
            <w:vAlign w:val="bottom"/>
            <w:shd w:val="clear" w:color="auto" w:fill="CFF0FC"/>
          </w:tcPr>
          <w:p>
            <w:pPr>
              <w:ind w:left="120"/>
              <w:spacing w:after="0" w:line="194" w:lineRule="exact"/>
              <w:rPr>
                <w:sz w:val="20"/>
                <w:szCs w:val="20"/>
                <w:color w:val="auto"/>
              </w:rPr>
            </w:pPr>
            <w:r>
              <w:rPr>
                <w:rFonts w:ascii="Times New Roman" w:cs="Times New Roman" w:eastAsia="Times New Roman" w:hAnsi="Times New Roman"/>
                <w:sz w:val="18"/>
                <w:szCs w:val="18"/>
                <w:color w:val="auto"/>
              </w:rPr>
              <w:t>stockholders, basic and diluted</w:t>
            </w:r>
          </w:p>
        </w:tc>
        <w:tc>
          <w:tcPr>
            <w:tcW w:w="2100" w:type="dxa"/>
            <w:vAlign w:val="bottom"/>
            <w:vMerge w:val="continue"/>
            <w:shd w:val="clear" w:color="auto" w:fill="CFF0FC"/>
          </w:tcPr>
          <w:p>
            <w:pPr>
              <w:spacing w:after="0"/>
              <w:rPr>
                <w:sz w:val="18"/>
                <w:szCs w:val="18"/>
                <w:color w:val="auto"/>
              </w:rPr>
            </w:pPr>
          </w:p>
        </w:tc>
        <w:tc>
          <w:tcPr>
            <w:tcW w:w="360" w:type="dxa"/>
            <w:vAlign w:val="bottom"/>
            <w:vMerge w:val="continue"/>
            <w:shd w:val="clear" w:color="auto" w:fill="CFF0FC"/>
          </w:tcPr>
          <w:p>
            <w:pPr>
              <w:spacing w:after="0"/>
              <w:rPr>
                <w:sz w:val="18"/>
                <w:szCs w:val="18"/>
                <w:color w:val="auto"/>
              </w:rPr>
            </w:pPr>
          </w:p>
        </w:tc>
        <w:tc>
          <w:tcPr>
            <w:tcW w:w="1340" w:type="dxa"/>
            <w:vAlign w:val="bottom"/>
            <w:vMerge w:val="continue"/>
            <w:shd w:val="clear" w:color="auto" w:fill="CFF0FC"/>
          </w:tcPr>
          <w:p>
            <w:pPr>
              <w:spacing w:after="0"/>
              <w:rPr>
                <w:sz w:val="18"/>
                <w:szCs w:val="18"/>
                <w:color w:val="auto"/>
              </w:rPr>
            </w:pPr>
          </w:p>
        </w:tc>
        <w:tc>
          <w:tcPr>
            <w:tcW w:w="560" w:type="dxa"/>
            <w:vAlign w:val="bottom"/>
            <w:gridSpan w:val="2"/>
            <w:vMerge w:val="continue"/>
            <w:shd w:val="clear" w:color="auto" w:fill="CFF0FC"/>
          </w:tcPr>
          <w:p>
            <w:pPr>
              <w:spacing w:after="0"/>
              <w:rPr>
                <w:sz w:val="18"/>
                <w:szCs w:val="18"/>
                <w:color w:val="auto"/>
              </w:rPr>
            </w:pPr>
          </w:p>
        </w:tc>
        <w:tc>
          <w:tcPr>
            <w:tcW w:w="1320" w:type="dxa"/>
            <w:vAlign w:val="bottom"/>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tcBorders>
              <w:top w:val="single" w:sz="8" w:color="CFF0FC"/>
            </w:tcBorders>
            <w:shd w:val="clear" w:color="auto" w:fill="CFF0FC"/>
          </w:tcPr>
          <w:p>
            <w:pPr>
              <w:spacing w:after="0" w:line="20" w:lineRule="exact"/>
              <w:rPr>
                <w:sz w:val="1"/>
                <w:szCs w:val="1"/>
                <w:color w:val="auto"/>
              </w:rPr>
            </w:pPr>
          </w:p>
        </w:tc>
        <w:tc>
          <w:tcPr>
            <w:tcW w:w="210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-25400</wp:posOffset>
            </wp:positionV>
            <wp:extent cx="13716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-8255</wp:posOffset>
            </wp:positionV>
            <wp:extent cx="13716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78" w:lineRule="exact"/>
        <w:rPr>
          <w:sz w:val="20"/>
          <w:szCs w:val="20"/>
          <w:color w:val="auto"/>
        </w:rPr>
      </w:pPr>
    </w:p>
    <w:p>
      <w:pPr>
        <w:jc w:val="both"/>
        <w:ind w:right="80"/>
        <w:spacing w:after="0" w:line="282" w:lineRule="auto"/>
        <w:rPr>
          <w:sz w:val="20"/>
          <w:szCs w:val="20"/>
          <w:color w:val="auto"/>
        </w:rPr>
      </w:pPr>
      <w:r>
        <w:rPr>
          <w:rFonts w:ascii="Times New Roman" w:cs="Times New Roman" w:eastAsia="Times New Roman" w:hAnsi="Times New Roman"/>
          <w:sz w:val="18"/>
          <w:szCs w:val="18"/>
          <w:color w:val="auto"/>
        </w:rPr>
        <w:t>The following potentially dilutive securities outstanding have been excluded from the computation of diluted weighted average shares outstanding because such securities have an antidilutive impact due to the Company’s net loss, in common stock equivalent shares: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44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2320" w:type="dxa"/>
            <w:vAlign w:val="bottom"/>
            <w:tcBorders>
              <w:bottom w:val="single" w:sz="8" w:color="auto"/>
            </w:tcBorders>
            <w:gridSpan w:val="3"/>
          </w:tcPr>
          <w:p>
            <w:pPr>
              <w:ind w:left="1180"/>
              <w:spacing w:after="0"/>
              <w:rPr>
                <w:sz w:val="20"/>
                <w:szCs w:val="20"/>
                <w:color w:val="auto"/>
              </w:rPr>
            </w:pPr>
            <w:r>
              <w:rPr>
                <w:rFonts w:ascii="Times New Roman" w:cs="Times New Roman" w:eastAsia="Times New Roman" w:hAnsi="Times New Roman"/>
                <w:sz w:val="14"/>
                <w:szCs w:val="14"/>
                <w:b w:val="1"/>
                <w:bCs w:val="1"/>
                <w:color w:val="auto"/>
              </w:rPr>
              <w:t>As of March 31,</w:t>
            </w:r>
          </w:p>
        </w:tc>
        <w:tc>
          <w:tcPr>
            <w:tcW w:w="11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44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1680" w:type="dxa"/>
            <w:vAlign w:val="bottom"/>
            <w:tcBorders>
              <w:bottom w:val="single" w:sz="8" w:color="auto"/>
            </w:tcBorders>
          </w:tcPr>
          <w:p>
            <w:pPr>
              <w:jc w:val="right"/>
              <w:ind w:right="68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2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61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09"/>
        </w:trPr>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Common stock options issued and outstanding</w:t>
            </w:r>
          </w:p>
        </w:tc>
        <w:tc>
          <w:tcPr>
            <w:tcW w:w="5020" w:type="dxa"/>
            <w:vAlign w:val="bottom"/>
            <w:gridSpan w:val="2"/>
            <w:shd w:val="clear" w:color="auto" w:fill="CFF0FC"/>
          </w:tcPr>
          <w:p>
            <w:pPr>
              <w:jc w:val="right"/>
              <w:ind w:right="42"/>
              <w:spacing w:after="0"/>
              <w:rPr>
                <w:sz w:val="20"/>
                <w:szCs w:val="20"/>
                <w:color w:val="auto"/>
              </w:rPr>
            </w:pPr>
            <w:r>
              <w:rPr>
                <w:rFonts w:ascii="Times New Roman" w:cs="Times New Roman" w:eastAsia="Times New Roman" w:hAnsi="Times New Roman"/>
                <w:sz w:val="18"/>
                <w:szCs w:val="18"/>
                <w:color w:val="auto"/>
              </w:rPr>
              <w:t>6,953,271</w:t>
            </w:r>
          </w:p>
        </w:tc>
        <w:tc>
          <w:tcPr>
            <w:tcW w:w="2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7,594,683</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Unvested full value awards</w:t>
            </w:r>
          </w:p>
        </w:tc>
        <w:tc>
          <w:tcPr>
            <w:tcW w:w="5020" w:type="dxa"/>
            <w:vAlign w:val="bottom"/>
            <w:gridSpan w:val="2"/>
          </w:tcPr>
          <w:p>
            <w:pPr>
              <w:jc w:val="right"/>
              <w:ind w:right="42"/>
              <w:spacing w:after="0"/>
              <w:rPr>
                <w:sz w:val="20"/>
                <w:szCs w:val="20"/>
                <w:color w:val="auto"/>
              </w:rPr>
            </w:pPr>
            <w:r>
              <w:rPr>
                <w:rFonts w:ascii="Times New Roman" w:cs="Times New Roman" w:eastAsia="Times New Roman" w:hAnsi="Times New Roman"/>
                <w:sz w:val="18"/>
                <w:szCs w:val="18"/>
                <w:color w:val="auto"/>
              </w:rPr>
              <w:t>7,855,976</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5,687,076</w:t>
            </w:r>
          </w:p>
        </w:tc>
        <w:tc>
          <w:tcPr>
            <w:tcW w:w="0" w:type="dxa"/>
            <w:vAlign w:val="bottom"/>
          </w:tcPr>
          <w:p>
            <w:pPr>
              <w:spacing w:after="0"/>
              <w:rPr>
                <w:sz w:val="1"/>
                <w:szCs w:val="1"/>
                <w:color w:val="auto"/>
              </w:rPr>
            </w:pPr>
          </w:p>
        </w:tc>
      </w:tr>
      <w:tr>
        <w:trPr>
          <w:trHeight w:val="216"/>
        </w:trPr>
        <w:tc>
          <w:tcPr>
            <w:tcW w:w="44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Contingently issuable PSU shares</w:t>
            </w:r>
          </w:p>
        </w:tc>
        <w:tc>
          <w:tcPr>
            <w:tcW w:w="3340" w:type="dxa"/>
            <w:vAlign w:val="bottom"/>
            <w:tcBorders>
              <w:bottom w:val="single" w:sz="8" w:color="CFF0FC"/>
            </w:tcBorders>
            <w:shd w:val="clear" w:color="auto" w:fill="CFF0FC"/>
          </w:tcPr>
          <w:p>
            <w:pPr>
              <w:spacing w:after="0"/>
              <w:rPr>
                <w:sz w:val="18"/>
                <w:szCs w:val="18"/>
                <w:color w:val="auto"/>
              </w:rPr>
            </w:pPr>
          </w:p>
        </w:tc>
        <w:tc>
          <w:tcPr>
            <w:tcW w:w="1680" w:type="dxa"/>
            <w:vAlign w:val="bottom"/>
            <w:tcBorders>
              <w:bottom w:val="single" w:sz="8" w:color="auto"/>
            </w:tcBorders>
            <w:shd w:val="clear" w:color="auto" w:fill="CFF0FC"/>
          </w:tcPr>
          <w:p>
            <w:pPr>
              <w:jc w:val="right"/>
              <w:ind w:right="42"/>
              <w:spacing w:after="0"/>
              <w:rPr>
                <w:sz w:val="20"/>
                <w:szCs w:val="20"/>
                <w:color w:val="auto"/>
              </w:rPr>
            </w:pPr>
            <w:r>
              <w:rPr>
                <w:rFonts w:ascii="Times New Roman" w:cs="Times New Roman" w:eastAsia="Times New Roman" w:hAnsi="Times New Roman"/>
                <w:sz w:val="18"/>
                <w:szCs w:val="18"/>
                <w:color w:val="auto"/>
              </w:rPr>
              <w:t>300,000</w:t>
            </w:r>
          </w:p>
        </w:tc>
        <w:tc>
          <w:tcPr>
            <w:tcW w:w="22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1,459,024</w:t>
            </w:r>
          </w:p>
        </w:tc>
        <w:tc>
          <w:tcPr>
            <w:tcW w:w="0" w:type="dxa"/>
            <w:vAlign w:val="bottom"/>
          </w:tcPr>
          <w:p>
            <w:pPr>
              <w:spacing w:after="0"/>
              <w:rPr>
                <w:sz w:val="1"/>
                <w:szCs w:val="1"/>
                <w:color w:val="auto"/>
              </w:rPr>
            </w:pPr>
          </w:p>
        </w:tc>
      </w:tr>
      <w:tr>
        <w:trPr>
          <w:trHeight w:val="210"/>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5020" w:type="dxa"/>
            <w:vAlign w:val="bottom"/>
            <w:gridSpan w:val="2"/>
          </w:tcPr>
          <w:p>
            <w:pPr>
              <w:jc w:val="right"/>
              <w:ind w:right="42"/>
              <w:spacing w:after="0"/>
              <w:rPr>
                <w:sz w:val="20"/>
                <w:szCs w:val="20"/>
                <w:color w:val="auto"/>
              </w:rPr>
            </w:pPr>
            <w:r>
              <w:rPr>
                <w:rFonts w:ascii="Times New Roman" w:cs="Times New Roman" w:eastAsia="Times New Roman" w:hAnsi="Times New Roman"/>
                <w:sz w:val="18"/>
                <w:szCs w:val="18"/>
                <w:color w:val="auto"/>
              </w:rPr>
              <w:t>15,109,247</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14,740,783</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3340" w:type="dxa"/>
            <w:vAlign w:val="bottom"/>
            <w:vMerge w:val="restart"/>
          </w:tcPr>
          <w:p>
            <w:pPr>
              <w:jc w:val="right"/>
              <w:ind w:right="1970"/>
              <w:spacing w:after="0"/>
              <w:rPr>
                <w:sz w:val="20"/>
                <w:szCs w:val="20"/>
                <w:color w:val="auto"/>
              </w:rPr>
            </w:pPr>
            <w:r>
              <w:rPr>
                <w:rFonts w:ascii="Times New Roman" w:cs="Times New Roman" w:eastAsia="Times New Roman" w:hAnsi="Times New Roman"/>
                <w:sz w:val="18"/>
                <w:szCs w:val="18"/>
                <w:color w:val="auto"/>
              </w:rPr>
              <w:t>16</w:t>
            </w:r>
          </w:p>
        </w:tc>
        <w:tc>
          <w:tcPr>
            <w:tcW w:w="1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440" w:type="dxa"/>
            <w:vAlign w:val="bottom"/>
          </w:tcPr>
          <w:p>
            <w:pPr>
              <w:spacing w:after="0"/>
              <w:rPr>
                <w:sz w:val="24"/>
                <w:szCs w:val="24"/>
                <w:color w:val="auto"/>
              </w:rPr>
            </w:pPr>
          </w:p>
        </w:tc>
        <w:tc>
          <w:tcPr>
            <w:tcW w:w="3340" w:type="dxa"/>
            <w:vAlign w:val="bottom"/>
            <w:vMerge w:val="continue"/>
          </w:tcPr>
          <w:p>
            <w:pPr>
              <w:spacing w:after="0"/>
              <w:rPr>
                <w:sz w:val="24"/>
                <w:szCs w:val="24"/>
                <w:color w:val="auto"/>
              </w:rPr>
            </w:pPr>
          </w:p>
        </w:tc>
        <w:tc>
          <w:tcPr>
            <w:tcW w:w="1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440" w:type="dxa"/>
            <w:vAlign w:val="bottom"/>
            <w:tcBorders>
              <w:bottom w:val="single" w:sz="8" w:color="9A9A9A"/>
            </w:tcBorders>
          </w:tcPr>
          <w:p>
            <w:pPr>
              <w:spacing w:after="0"/>
              <w:rPr>
                <w:sz w:val="24"/>
                <w:szCs w:val="24"/>
                <w:color w:val="auto"/>
              </w:rPr>
            </w:pPr>
          </w:p>
        </w:tc>
        <w:tc>
          <w:tcPr>
            <w:tcW w:w="334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-1079500</wp:posOffset>
            </wp:positionV>
            <wp:extent cx="13716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our condensed financial statements and related notes thereto included in this Quarterly Report on Form 10-Q (this "Quarterly Report") and our audited financial statements and related notes thereto for the year ended December 31, 2025, included in our Annual Report on Form 10-K filed with the U.S. Securities and Exchange Commission ("SEC") on February 27, 2026 (our "Annual Report"). This discussion and other parts of this Quarterly Report contain forward-looking statements that involve risks and uncertainties, such as statements of our plans, objectives, expectations and intentions that are based on the beliefs of our management, as well as assumptions made by, and information currently available to, our management. Our actual results could differ materially from those discussed in these forward-looking statements. Factors that could cause or contribute to such differences include, but are not limited to, those discussed in our Annual Report under "Part I, Item 1A–Risk Factors," and in the section titled "Risk Factors" and elsewhere in this Quarterly Report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Please also see the section of this Quarterly Report titled "Special Note Regarding Forward-Looking Statements."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20"/>
        <w:spacing w:after="0" w:line="228" w:lineRule="auto"/>
        <w:rPr>
          <w:sz w:val="20"/>
          <w:szCs w:val="20"/>
          <w:color w:val="auto"/>
        </w:rPr>
      </w:pPr>
      <w:r>
        <w:rPr>
          <w:rFonts w:ascii="Times New Roman" w:cs="Times New Roman" w:eastAsia="Times New Roman" w:hAnsi="Times New Roman"/>
          <w:sz w:val="18"/>
          <w:szCs w:val="18"/>
          <w:color w:val="auto"/>
        </w:rPr>
        <w:t>We are a medical technology company with the goal of advancing the standard of care for the surgical management of bunion and related midfoot deformities. Bunions are complex 3-dimensional deformities that originate from an unstable joint in the middle of the foot and affect approximately 67 million Americans, of which we estimate 1.1 million are annual surgical candidates. We have pioneered and patented the Lapiplasty 3D Bunion Correction System–a combination of instruments, implants and surgical methods designed to surgically correct all three planes of the bunion deformity and secure the unstable joint, addressing the root cause of the bunion and helping patients get back to their active lifestyles. To further support the needs of surgeons and bunion patients, we offer the Adductoplasty</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Midfoot Correction System, designed for reproducible surgical correction of the midfoot, two systems for minimally invasive osteotomy procedures, namely the Nanoplasty</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3D Minimally Invasive Bunion Correction System and the Percuplasty</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percutaneous 3D Bunion Correction System, and the SpeedMTP</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System for fusions of the great toe (the metatarsophalangeal ("MTP")) joint. We continue to expand our footprint in the marketplace by extending our SpeedPlate</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rapid compression implant platform to new applications, as well as providing surgeons with advanced digital solutions with our IntelliGuide</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patient specific, pre-op planning and cut guide technology. With our Lapiplasty System, new osteotomy systems, and other complementary products, we are continuing to execute our strategy of becoming a comprehensive bunion solutions company and supporting further penetration in the bunion market opportunity. See the "Innovation and Growth" section below for more information on our new products.</w:t>
      </w:r>
    </w:p>
    <w:p>
      <w:pPr>
        <w:spacing w:after="0" w:line="208"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were formed in 2013, and since receiving 510(k) clearance for the Lapiplasty System in March 2015, we have expanded our bunion related products in the United States. We market and sell our products to surgeons, ambulatory surgery centers, hospitals, and stocking distributors. Our procedures can be performed in either hospital outpatient or ambulatory surgery center settings, and utilize existing, well-established reimbursement codes. We primarily market and sell our products through a combination of a direct employee sales force and independent sales agencies and stocking distributors in the United States.</w:t>
      </w:r>
    </w:p>
    <w:p>
      <w:pPr>
        <w:spacing w:after="0" w:line="183"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As of March 31, 2026, we had cash and cash equivalents of $9.5 million and marketable securities of $42.3 million available for sale to fund operations, an accumulated deficit of $267.0 million and $60.0 million of principal outstanding under our term loan and revolving loan agreements.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Economic Environment</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There is continuing uncertainty in the macroeconomic environment. Inflation, recession fears, reduced consumer confidence, higher insurance deductibles, fuel prices and other costs, and other adverse economic conditions have negatively impacted, and may continue to negatively impact, consumer demand for elective foot and ankle surgeries. While we continuously work with suppliers to mitigate higher costs and continue to invest in our direct sales channel, focused surgeon education training, and product innovations to build demand for our products, we expect these macroeconomic challenges to continue for the foreseeable future, which have impacted and likely will continue to impact the demand for our products and our results of operations.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Increased Competition, Procedure Preferences and Setting of Care Changes</w:t>
      </w:r>
    </w:p>
    <w:p>
      <w:pPr>
        <w:spacing w:after="0" w:line="121"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Before we launched our flagship Lapiplasty System, there were no other products in the market that provided a 3D solution and specialized procedural instrumentation for traditionally freehand, difficult Lapidus surgeries. This allowed us to capitalize on our pioneering technology and grow our market share quickly. Since we launched the Lapiplasty System, we have faced increasing competition from large, mid-sized and small companies that have launched their own Lapidus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9" w:name="page20"/>
    <w:bookmarkEnd w:id="19"/>
    <w:p>
      <w:pPr>
        <w:ind w:right="20"/>
        <w:spacing w:after="0" w:line="253" w:lineRule="auto"/>
        <w:rPr>
          <w:sz w:val="20"/>
          <w:szCs w:val="20"/>
          <w:color w:val="auto"/>
        </w:rPr>
      </w:pPr>
      <w:r>
        <w:rPr>
          <w:rFonts w:ascii="Times New Roman" w:cs="Times New Roman" w:eastAsia="Times New Roman" w:hAnsi="Times New Roman"/>
          <w:sz w:val="18"/>
          <w:szCs w:val="18"/>
          <w:color w:val="auto"/>
        </w:rPr>
        <w:t>products. We are also experiencing a shift in patient and surgeon preferences for treating less severe bunions through minimally invasive osteotomy solutions as well as MTP fusions, with competitive products already addressing these types of surgery. Another trend is a shift in where bunion surgeries are performed from hospitals to ambulatory surgery centers, which receive lower procedure reimbursement rates and may be part of integrated delivery networks ("IDNs") that have established relationships with large orthopaedic companies. These trends have negatively impacted, and may continue to negatively impact, our growth rates, market share, and results of operations. To address the shifting preferences for treating mild to moderate bunions, we have introduced new bunion systems, including two minimally invasive osteotomy systems and a MTP fusion system. While adoption of these new systems is increasing, they are generally sold at lower average selling prices than our Lapiplasty System. Our revenues and results of operations have been and may continue to be adversely affected by declines in sales of our Lapiplasty System that have not been fully offset by the increased sales of our new bunion systems. In addition, our customer mix initiatives, the use of stocking distributors, and advance purchases by hospitals and surgery centers have affected and may continue to affect both revenue growth and gross margins. Furthermore, we face extensive competition, and new product introductions in the Lapidus, MTP fusion and minimally invasive osteotomy markets that have adversely impacted, and may continue to adversely impact our growth rates, market share and results of operations.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Innovation and Growth</w:t>
      </w:r>
    </w:p>
    <w:p>
      <w:pPr>
        <w:spacing w:after="0" w:line="121" w:lineRule="exact"/>
        <w:rPr>
          <w:sz w:val="20"/>
          <w:szCs w:val="20"/>
          <w:color w:val="auto"/>
        </w:rPr>
      </w:pPr>
    </w:p>
    <w:p>
      <w:pPr>
        <w:jc w:val="both"/>
        <w:ind w:right="380"/>
        <w:spacing w:after="0" w:line="266" w:lineRule="auto"/>
        <w:rPr>
          <w:sz w:val="20"/>
          <w:szCs w:val="20"/>
          <w:color w:val="auto"/>
        </w:rPr>
      </w:pPr>
      <w:r>
        <w:rPr>
          <w:rFonts w:ascii="Times New Roman" w:cs="Times New Roman" w:eastAsia="Times New Roman" w:hAnsi="Times New Roman"/>
          <w:sz w:val="18"/>
          <w:szCs w:val="18"/>
          <w:color w:val="auto"/>
        </w:rPr>
        <w:t>We expect to continue to focus on long-term revenue growth through investments in our business and new products. In sales and marketing, we have dedicated meaningful resources to building a sales force and management team to support our future growth and to providing bunion-focused surgeon training and patient-focused outreach and education.</w:t>
      </w:r>
    </w:p>
    <w:p>
      <w:pPr>
        <w:spacing w:after="0" w:line="176"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8"/>
          <w:szCs w:val="18"/>
          <w:color w:val="auto"/>
        </w:rPr>
        <w:t>In research and development, our employee team and surgeon consultants are continually working on next-generation innovations for the surgical correction of bunions and other conditions that often present with bunions. Their work has resulted in the launch of a suite of new products in the past two years, including the following: (1) the Nanoplasty and Percuplasty Systems, which are minimally-invasive 3D osteotomy systems; (2) IntelliGuide PSI Cut Guides for Lapiplasty and Adductoplasty Procedures, which are cut guides created specifically for an individual patient’s foot anatomy; (3) the Mini-Adductoplasty System, which is designed to allow the Adductoplasty midfoot correction procedure to be performed through an approximately 50% smaller incision; (4) the SpeedMTP Rapid Compression Implant, a specialized implant for addressing bunions through MTP fusions; (5) new SpeedPlate configurations, including the SpeedAkin</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implant and the SpeedPlate Micro-Quad implant; and (6) single use osteotomes. We have recently begun limited market release of the SpeedTMT</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Rapid Compression Implant, which combines our SpeedPlate and FastPitch® technologies in a fixation option for tarsometatarsal ("TMT") fusions, and Percuplasty SuperBite</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Screws, which are self-drilling beveled compression screws of different sizes designed for use in other foot fusions. We expect to release other new solutions in 2026, including the Lapiplasty Lightning Next Generation Instrumentation designed to further increase the precision and speed of the Lapiplasty Procedure.</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Strategy</w:t>
      </w:r>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actively seek to protect the technology, inventions, and improvements that we consider important to our business using patents, trade secrets, trademarks and copyrights in the United States and foreign markets. As of March 31, 2026, our patent portfolio included 97 granted U.S. patents, with an additional 37 granted patents worldwide and over 200 pending patent applications. In keeping with our strategy of protecting our intellectual property rights, on October 14, 2024, we filed a lawsuit against Stryker Corporation and its subsidiary Wright Medical Technology, Inc. (collectively, "Stryker") alleging infringement of 9 patents related to our innovative Lapiplasty 3D Bunion Correction technologies and unfair competition. The suit was filed in the United States District Court for the District of New Jersey, and seeks injunctive relief and damages. In addition, on May 12, 2025, we filed a lawsuit against Zimmer Biomet Holdings, Inc. and Paragon 28, Inc. (collectively, "ZB") alleging infringement of 4 patents related to our innovative Lapiplasty 3D Bunion Correction technologies. The suit was filed in the United States District Court for the District of Delaware and seeks injunctive relief and damages. On August 5, 2025, we filed an amended complaint alleging infringement of an additional patent.</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Share Growth</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growth of our business depends on our ability to gain broader acceptance of our proprietary procedures and systems by successfully marketing and distributing these products. While surgeon adoption of our products and procedures remains critical to supporting revenue growth, hospital and ambulatory surgery center facility approvals are necessary for existing and future surgeon customers to access our products. To facilitate greater access to our products and support future sales growth, we intend to continue educating hospitals and facility administrators on the differentiated benefits associated with our procedures and systems, supported by our robust portfolio of clinical data on our existing procedures and additional clinical</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20" w:name="page21"/>
    <w:bookmarkEnd w:id="20"/>
    <w:p>
      <w:pPr>
        <w:spacing w:after="0" w:line="258" w:lineRule="auto"/>
        <w:rPr>
          <w:sz w:val="20"/>
          <w:szCs w:val="20"/>
          <w:color w:val="auto"/>
        </w:rPr>
      </w:pPr>
      <w:r>
        <w:rPr>
          <w:rFonts w:ascii="Times New Roman" w:cs="Times New Roman" w:eastAsia="Times New Roman" w:hAnsi="Times New Roman"/>
          <w:sz w:val="18"/>
          <w:szCs w:val="18"/>
          <w:color w:val="auto"/>
        </w:rPr>
        <w:t>data we expect to develop on our new products. While we have experienced overall increases in bunion procedure cases and in our market share, our flagship Lapiplasty System has contributed and may continue to contribute less to our market share growth in future quarters, which has reduced, and may continue to reduce, revenues and impact our liquidity if product sales from our new bunion systems do not increase sufficiently to offset the decline in sales of the Lapiplasty System. If we are unable to continue to successfully commercialize our procedures and systems, we may not be able to generate sufficient revenue to achieve or sustain profitability.</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Seasonality</w:t>
      </w:r>
    </w:p>
    <w:p>
      <w:pPr>
        <w:spacing w:after="0" w:line="121" w:lineRule="exact"/>
        <w:rPr>
          <w:sz w:val="20"/>
          <w:szCs w:val="20"/>
          <w:color w:val="auto"/>
        </w:rPr>
      </w:pPr>
    </w:p>
    <w:p>
      <w:pPr>
        <w:ind w:right="20"/>
        <w:spacing w:after="0" w:line="272" w:lineRule="auto"/>
        <w:rPr>
          <w:sz w:val="20"/>
          <w:szCs w:val="20"/>
          <w:color w:val="auto"/>
        </w:rPr>
      </w:pPr>
      <w:r>
        <w:rPr>
          <w:rFonts w:ascii="Times New Roman" w:cs="Times New Roman" w:eastAsia="Times New Roman" w:hAnsi="Times New Roman"/>
          <w:sz w:val="17"/>
          <w:szCs w:val="17"/>
          <w:color w:val="auto"/>
        </w:rPr>
        <w:t>We have experienced and expect to continue to experience seasonality in our business, with higher sales volumes in the fourth calendar quarter, historically accounting for approximately 30 to 35% of full year revenues, and lower sales volumes in subsequent calendar quarters. Our sales volumes in the fourth quarter tend to be higher as many patients elect to have surgery after meeting their annual deductible and having time to recover over the winter holidays. Our sales volumes in subsequent first calendar quarters also tend to be lower versus the prior year fourth quarters as a result of adverse weather and by resetting annual patient healthcare insurance plan deductibles, both of which may cause patients to delay elective procedures; however, in some years the first quarter may benefit from additional sales volumes when high patient demand for surgeries in the fourth quarter cannot be fully accommodated and those surgical procedures are rolled over into the first quarter. In addition to the seasonality noted above, we generally expect lower sales volumes in the second and third quarters than throughout the rest of the year as elective procedures generally decline during the spring and summer months.</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Coverage and Reimbursement</w:t>
      </w:r>
    </w:p>
    <w:p>
      <w:pPr>
        <w:spacing w:after="0" w:line="121" w:lineRule="exact"/>
        <w:rPr>
          <w:sz w:val="20"/>
          <w:szCs w:val="20"/>
          <w:color w:val="auto"/>
        </w:rPr>
      </w:pPr>
    </w:p>
    <w:p>
      <w:pPr>
        <w:jc w:val="both"/>
        <w:ind w:right="60"/>
        <w:spacing w:after="0" w:line="261" w:lineRule="auto"/>
        <w:rPr>
          <w:sz w:val="20"/>
          <w:szCs w:val="20"/>
          <w:color w:val="auto"/>
        </w:rPr>
      </w:pPr>
      <w:r>
        <w:rPr>
          <w:rFonts w:ascii="Times New Roman" w:cs="Times New Roman" w:eastAsia="Times New Roman" w:hAnsi="Times New Roman"/>
          <w:sz w:val="18"/>
          <w:szCs w:val="18"/>
          <w:color w:val="auto"/>
        </w:rPr>
        <w:t>Hospitals, ambulatory surgery centers and surgeons that purchase or use our products generally rely on third-party payors to reimburse for all or part of the costs and fees associated with procedures using our products. As a result, sales of our products depend, in part, on the extent to which the procedures using our products are covered by third-party payors, including government programs such as Medicare and Medicaid, private insurance plans and managed care programs. Based on historical claims data, more than 60% of all bunion surgical cases are paid by private payors.</w:t>
      </w:r>
    </w:p>
    <w:p>
      <w:pPr>
        <w:spacing w:after="0" w:line="180"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18"/>
          <w:szCs w:val="18"/>
          <w:color w:val="auto"/>
        </w:rPr>
        <w:t>Medicare payment rates to hospital outpatient departments are set under the Medicare hospital outpatient prospective payment system, which groups clinically similar hospital outpatient procedures and services with similar costs to ambulatory payment classifications ("APCs"). Each APC is assigned a single lump sum payment rate, which includes payment for the primary procedure as well as any integral, ancillary, and adjunctive services. The primary current procedure terminology ("CPT") codes for the Lapiplasty Procedure, CPT 28297 and CPT 28740, are grouped under APC 5115 and APC 5114, respectively. For Lapiplasty Procedures in which fusion is performed on multiple TMT joints, CPT 28730 applies and is classified under APC 5115. For Adductoplasty Procedures in which fusion is performed on multiple TMT joints, either CPT 28730 or CPT 27835 applies and are classified under APC 5115. For the Nanoplasty and Percuplasty Procedures, CPT 28306 applies and are classified under APC 5114. For MTP fusions using the SpeedMTP implant or our other plates, CPT 28750 applies and are classified under APC 5114.</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We currently generate revenue from the sale of our bunion implant kit systems, single-use sterile instruments, and other complementary products. Our systems bring together single-use implant kits, reusable instrument trays, and surgical techniques. We sell the kits and single-use instruments and other products to hospitals, ambulatory surgery centers, and stocking distributors in the United States primarily through a network of employee sales representatives and independent sales agencies.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w:t>
      </w:r>
    </w:p>
    <w:p>
      <w:pPr>
        <w:spacing w:after="0" w:line="12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Cost of goods sold consists primarily of direct costs for the purchase of our products from third-party manufacturers. Cost of goods sold also includes royalties, overhead, shipping costs, tariffs, sterilization, product testing, and packaging. We expense all inventory provisions for excess, obsolete, and field losses as cost of goods sold. We evaluate the carrying value of our inventories in relation to historical sales, current inventory levels, and consideration of the life cycle of the product. A significant decrease in demand or development of products could result in an increase in the amount of excess or obsolete inventory on hand, which could lead to additional provisions.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 and Gross Margin</w:t>
      </w:r>
    </w:p>
    <w:p>
      <w:pPr>
        <w:spacing w:after="0" w:line="12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calculate gross profit as revenue less cost of goods sold, and gross margin as gross profit divided by revenue. Our gross margin has been and will continue to be affected by a variety of factors, primarily average selling prices, production, and ordering volumes, change in mix of customers, third-party manufacturing costs and cost-reduction strategies.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119" w:lineRule="exact"/>
        <w:rPr>
          <w:sz w:val="20"/>
          <w:szCs w:val="20"/>
          <w:color w:val="auto"/>
        </w:rPr>
      </w:pPr>
    </w:p>
    <w:p>
      <w:pPr>
        <w:jc w:val="both"/>
        <w:ind w:right="200"/>
        <w:spacing w:after="0" w:line="261" w:lineRule="auto"/>
        <w:rPr>
          <w:sz w:val="20"/>
          <w:szCs w:val="20"/>
          <w:color w:val="auto"/>
        </w:rPr>
      </w:pPr>
      <w:r>
        <w:rPr>
          <w:rFonts w:ascii="Times New Roman" w:cs="Times New Roman" w:eastAsia="Times New Roman" w:hAnsi="Times New Roman"/>
          <w:sz w:val="18"/>
          <w:szCs w:val="18"/>
          <w:color w:val="auto"/>
        </w:rPr>
        <w:t>Sales and marketing expenses consist primarily of compensation for personnel, including salaries, bonuses, benefits, sales commissions and share-based compensation, related to selling and marketing functions, surgical instrument expense, physician education programs, training, shipping costs related to sending products to our sales representatives, travel expenses, marketing initiatives including our direct-to-consumer outreach program and advertising, market research and analysis and conferences and trade shows.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11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Research and development ("R&amp;D") expenses consist primarily of engineering, product development, clinical studies to develop and support our products, regulatory expenses, and other costs associated with products and technologies that are in development. These expenses include compensation for personnel, including salaries, bonuses, benefits and share-based compensation, supplies, consulting, prototyping, testing, materials, travel expenses, depreciation, and allocated facilities-related expenses.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11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consist primarily of compensation for personnel, including salaries, bonuses, benefits, and share-based compensation, related to finance, information technology, legal and human resource functions, as well as professional services fees (including legal, audit and tax fees), insurance costs, general corporate expenses, and allocated facilities-related expenses.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income consists of interest received on our money market funds and marketable securities.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 consists of interest incurred and amortization of debt discount and issuance costs related to our term loan and revolving debt facility.</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13" w:right="41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March 31, 2026 and 2025</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periods presented below ($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7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gridSpan w:val="4"/>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3"/>
          </w:tcPr>
          <w:p>
            <w:pPr>
              <w:jc w:val="right"/>
              <w:ind w:right="841"/>
              <w:spacing w:after="0"/>
              <w:rPr>
                <w:sz w:val="20"/>
                <w:szCs w:val="20"/>
                <w:color w:val="auto"/>
              </w:rPr>
            </w:pPr>
            <w:r>
              <w:rPr>
                <w:rFonts w:ascii="Times New Roman" w:cs="Times New Roman" w:eastAsia="Times New Roman" w:hAnsi="Times New Roman"/>
                <w:sz w:val="14"/>
                <w:szCs w:val="14"/>
                <w:b w:val="1"/>
                <w:bCs w:val="1"/>
                <w:color w:val="auto"/>
                <w:w w:val="95"/>
              </w:rPr>
              <w:t>Change</w:t>
            </w:r>
          </w:p>
        </w:tc>
        <w:tc>
          <w:tcPr>
            <w:tcW w:w="240" w:type="dxa"/>
            <w:vAlign w:val="bottom"/>
            <w:tcBorders>
              <w:bottom w:val="single" w:sz="8" w:color="auto"/>
            </w:tcBorders>
          </w:tcPr>
          <w:p>
            <w:pPr>
              <w:spacing w:after="0"/>
              <w:rPr>
                <w:sz w:val="15"/>
                <w:szCs w:val="15"/>
                <w:color w:val="auto"/>
              </w:rPr>
            </w:pPr>
          </w:p>
        </w:tc>
      </w:tr>
      <w:tr>
        <w:trPr>
          <w:trHeight w:val="142"/>
        </w:trPr>
        <w:tc>
          <w:tcPr>
            <w:tcW w:w="57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480"/>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6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28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Borders>
              <w:bottom w:val="single" w:sz="8" w:color="auto"/>
            </w:tcBorders>
          </w:tcPr>
          <w:p>
            <w:pPr>
              <w:jc w:val="right"/>
              <w:ind w:right="361"/>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Borders>
              <w:bottom w:val="single" w:sz="8" w:color="auto"/>
            </w:tcBorders>
          </w:tcPr>
          <w:p>
            <w:pPr>
              <w:spacing w:after="0"/>
              <w:rPr>
                <w:sz w:val="12"/>
                <w:szCs w:val="12"/>
                <w:color w:val="auto"/>
              </w:rPr>
            </w:pPr>
          </w:p>
        </w:tc>
      </w:tr>
      <w:tr>
        <w:trPr>
          <w:trHeight w:val="196"/>
        </w:trPr>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Revenue</w:t>
            </w:r>
          </w:p>
        </w:tc>
        <w:tc>
          <w:tcPr>
            <w:tcW w:w="1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47,198</w:t>
            </w:r>
          </w:p>
        </w:tc>
        <w:tc>
          <w:tcPr>
            <w:tcW w:w="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52,570</w:t>
            </w: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(5,372)</w:t>
            </w:r>
          </w:p>
        </w:tc>
        <w:tc>
          <w:tcPr>
            <w:tcW w:w="162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(10.2) %</w:t>
            </w:r>
          </w:p>
        </w:tc>
      </w:tr>
      <w:tr>
        <w:trPr>
          <w:trHeight w:val="202"/>
        </w:trPr>
        <w:tc>
          <w:tcPr>
            <w:tcW w:w="5700" w:type="dxa"/>
            <w:vAlign w:val="bottom"/>
          </w:tcPr>
          <w:p>
            <w:pPr>
              <w:spacing w:after="0"/>
              <w:rPr>
                <w:sz w:val="20"/>
                <w:szCs w:val="20"/>
                <w:color w:val="auto"/>
              </w:rPr>
            </w:pPr>
            <w:r>
              <w:rPr>
                <w:rFonts w:ascii="Times New Roman" w:cs="Times New Roman" w:eastAsia="Times New Roman" w:hAnsi="Times New Roman"/>
                <w:sz w:val="16"/>
                <w:szCs w:val="16"/>
                <w:color w:val="auto"/>
              </w:rPr>
              <w:t>Cost of goods sold</w:t>
            </w: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rPr>
              <w:t>9,791</w:t>
            </w: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10,677</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(886)</w:t>
            </w:r>
          </w:p>
        </w:tc>
        <w:tc>
          <w:tcPr>
            <w:tcW w:w="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(8.3) %</w:t>
            </w:r>
          </w:p>
        </w:tc>
      </w:tr>
      <w:tr>
        <w:trPr>
          <w:trHeight w:val="196"/>
        </w:trPr>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Gross profit</w:t>
            </w:r>
          </w:p>
        </w:tc>
        <w:tc>
          <w:tcPr>
            <w:tcW w:w="180" w:type="dxa"/>
            <w:vAlign w:val="bottom"/>
            <w:shd w:val="clear" w:color="auto" w:fill="CFF0FC"/>
          </w:tcPr>
          <w:p>
            <w:pPr>
              <w:spacing w:after="0"/>
              <w:rPr>
                <w:sz w:val="17"/>
                <w:szCs w:val="17"/>
                <w:color w:val="auto"/>
              </w:rPr>
            </w:pPr>
          </w:p>
        </w:tc>
        <w:tc>
          <w:tcPr>
            <w:tcW w:w="1100" w:type="dxa"/>
            <w:vAlign w:val="bottom"/>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37,407</w:t>
            </w: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41,893</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(4,486)</w:t>
            </w:r>
          </w:p>
        </w:tc>
        <w:tc>
          <w:tcPr>
            <w:tcW w:w="162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(10.7) %</w:t>
            </w:r>
          </w:p>
        </w:tc>
      </w:tr>
      <w:tr>
        <w:trPr>
          <w:trHeight w:val="203"/>
        </w:trPr>
        <w:tc>
          <w:tcPr>
            <w:tcW w:w="5700" w:type="dxa"/>
            <w:vAlign w:val="bottom"/>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03"/>
        </w:trPr>
        <w:tc>
          <w:tcPr>
            <w:tcW w:w="57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Sales and marketing</w:t>
            </w:r>
          </w:p>
        </w:tc>
        <w:tc>
          <w:tcPr>
            <w:tcW w:w="180" w:type="dxa"/>
            <w:vAlign w:val="bottom"/>
            <w:shd w:val="clear" w:color="auto" w:fill="CFF0FC"/>
          </w:tcPr>
          <w:p>
            <w:pPr>
              <w:spacing w:after="0"/>
              <w:rPr>
                <w:sz w:val="17"/>
                <w:szCs w:val="17"/>
                <w:color w:val="auto"/>
              </w:rPr>
            </w:pPr>
          </w:p>
        </w:tc>
        <w:tc>
          <w:tcPr>
            <w:tcW w:w="1100" w:type="dxa"/>
            <w:vAlign w:val="bottom"/>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33,775</w:t>
            </w: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36,122</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(2,347)</w:t>
            </w:r>
          </w:p>
        </w:tc>
        <w:tc>
          <w:tcPr>
            <w:tcW w:w="162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 %</w:t>
            </w:r>
          </w:p>
        </w:tc>
      </w:tr>
      <w:tr>
        <w:trPr>
          <w:trHeight w:val="203"/>
        </w:trPr>
        <w:tc>
          <w:tcPr>
            <w:tcW w:w="57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180" w:type="dxa"/>
            <w:vAlign w:val="bottom"/>
          </w:tcPr>
          <w:p>
            <w:pPr>
              <w:spacing w:after="0"/>
              <w:rPr>
                <w:sz w:val="17"/>
                <w:szCs w:val="17"/>
                <w:color w:val="auto"/>
              </w:rPr>
            </w:pPr>
          </w:p>
        </w:tc>
        <w:tc>
          <w:tcPr>
            <w:tcW w:w="110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4,622</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5,562</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(940)</w:t>
            </w:r>
          </w:p>
        </w:tc>
        <w:tc>
          <w:tcPr>
            <w:tcW w:w="162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(16.9) %</w:t>
            </w:r>
          </w:p>
        </w:tc>
      </w:tr>
      <w:tr>
        <w:trPr>
          <w:trHeight w:val="203"/>
        </w:trPr>
        <w:tc>
          <w:tcPr>
            <w:tcW w:w="570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8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16,177</w:t>
            </w:r>
          </w:p>
        </w:tc>
        <w:tc>
          <w:tcPr>
            <w:tcW w:w="12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15,791</w:t>
            </w:r>
          </w:p>
        </w:tc>
        <w:tc>
          <w:tcPr>
            <w:tcW w:w="1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386</w:t>
            </w:r>
          </w:p>
        </w:tc>
        <w:tc>
          <w:tcPr>
            <w:tcW w:w="40" w:type="dxa"/>
            <w:vAlign w:val="bottom"/>
            <w:tcBorders>
              <w:bottom w:val="single" w:sz="8" w:color="auto"/>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96"/>
        </w:trPr>
        <w:tc>
          <w:tcPr>
            <w:tcW w:w="5700" w:type="dxa"/>
            <w:vAlign w:val="bottom"/>
          </w:tcPr>
          <w:p>
            <w:pPr>
              <w:spacing w:after="0"/>
              <w:rPr>
                <w:sz w:val="20"/>
                <w:szCs w:val="20"/>
                <w:color w:val="auto"/>
              </w:rPr>
            </w:pPr>
            <w:r>
              <w:rPr>
                <w:rFonts w:ascii="Times New Roman" w:cs="Times New Roman" w:eastAsia="Times New Roman" w:hAnsi="Times New Roman"/>
                <w:sz w:val="16"/>
                <w:szCs w:val="16"/>
                <w:color w:val="auto"/>
              </w:rPr>
              <w:t>Total operating expenses</w:t>
            </w: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rPr>
              <w:t>54,574</w:t>
            </w: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57,475</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(2,901)</w:t>
            </w:r>
          </w:p>
        </w:tc>
        <w:tc>
          <w:tcPr>
            <w:tcW w:w="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(5.0) %</w:t>
            </w:r>
          </w:p>
        </w:tc>
      </w:tr>
      <w:tr>
        <w:trPr>
          <w:trHeight w:val="196"/>
        </w:trPr>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Loss from operations</w:t>
            </w:r>
          </w:p>
        </w:tc>
        <w:tc>
          <w:tcPr>
            <w:tcW w:w="18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(17,167)</w:t>
            </w: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(15,582)</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(1,585)</w:t>
            </w:r>
          </w:p>
        </w:tc>
        <w:tc>
          <w:tcPr>
            <w:tcW w:w="13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57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Interest income</w:t>
            </w:r>
          </w:p>
        </w:tc>
        <w:tc>
          <w:tcPr>
            <w:tcW w:w="180" w:type="dxa"/>
            <w:vAlign w:val="bottom"/>
          </w:tcPr>
          <w:p>
            <w:pPr>
              <w:spacing w:after="0"/>
              <w:rPr>
                <w:sz w:val="17"/>
                <w:szCs w:val="17"/>
                <w:color w:val="auto"/>
              </w:rPr>
            </w:pPr>
          </w:p>
        </w:tc>
        <w:tc>
          <w:tcPr>
            <w:tcW w:w="110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501</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841</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w:t>
            </w:r>
          </w:p>
        </w:tc>
        <w:tc>
          <w:tcPr>
            <w:tcW w:w="162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(40.4) %</w:t>
            </w:r>
          </w:p>
        </w:tc>
      </w:tr>
      <w:tr>
        <w:trPr>
          <w:trHeight w:val="203"/>
        </w:trPr>
        <w:tc>
          <w:tcPr>
            <w:tcW w:w="57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Interest expense</w:t>
            </w:r>
          </w:p>
        </w:tc>
        <w:tc>
          <w:tcPr>
            <w:tcW w:w="18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(1,570)</w:t>
            </w: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(1,311)</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(259)</w:t>
            </w:r>
          </w:p>
        </w:tc>
        <w:tc>
          <w:tcPr>
            <w:tcW w:w="13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19.8</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57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Other income, net</w:t>
            </w: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rPr>
              <w:t>275</w:t>
            </w: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130</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145</w:t>
            </w:r>
          </w:p>
        </w:tc>
        <w:tc>
          <w:tcPr>
            <w:tcW w:w="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111.5</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96"/>
        </w:trPr>
        <w:tc>
          <w:tcPr>
            <w:tcW w:w="5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non-operating income (expense), net</w:t>
            </w:r>
          </w:p>
        </w:tc>
        <w:tc>
          <w:tcPr>
            <w:tcW w:w="18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(794)</w:t>
            </w:r>
          </w:p>
        </w:tc>
        <w:tc>
          <w:tcPr>
            <w:tcW w:w="12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(340)</w:t>
            </w:r>
          </w:p>
        </w:tc>
        <w:tc>
          <w:tcPr>
            <w:tcW w:w="1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(454)</w:t>
            </w:r>
          </w:p>
        </w:tc>
        <w:tc>
          <w:tcPr>
            <w:tcW w:w="40" w:type="dxa"/>
            <w:vAlign w:val="bottom"/>
            <w:tcBorders>
              <w:bottom w:val="single" w:sz="8" w:color="auto"/>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133.5</w:t>
            </w:r>
          </w:p>
        </w:tc>
        <w:tc>
          <w:tcPr>
            <w:tcW w:w="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96"/>
        </w:trPr>
        <w:tc>
          <w:tcPr>
            <w:tcW w:w="570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(17,961)</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(15,922)</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(2,039)</w:t>
            </w: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57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-959485</wp:posOffset>
            </wp:positionV>
            <wp:extent cx="8572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-959485</wp:posOffset>
            </wp:positionV>
            <wp:extent cx="7683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-959485</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-162560</wp:posOffset>
            </wp:positionV>
            <wp:extent cx="8572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-162560</wp:posOffset>
            </wp:positionV>
            <wp:extent cx="7683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-162560</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Comparison of the three months ended March 31, 2026 and 2025</w:t>
      </w:r>
    </w:p>
    <w:p>
      <w:pPr>
        <w:spacing w:after="0" w:line="117"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Revenue. </w:t>
      </w:r>
      <w:r>
        <w:rPr>
          <w:rFonts w:ascii="Times New Roman" w:cs="Times New Roman" w:eastAsia="Times New Roman" w:hAnsi="Times New Roman"/>
          <w:sz w:val="18"/>
          <w:szCs w:val="18"/>
          <w:color w:val="auto"/>
        </w:rPr>
        <w:t>Revenue decreased by $5.4 million, or 10.2%, for the three months ended March 31, 2026 as compared to the same period in 2025. The decrease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was primarily driven by a mix shift from higher priced flagship Lapiplasty bunion procedure kits to lower priced minimally invasive bunion procedure kits and lower volume of bunion procedure kits sold during the quarter. Revenue for the three months ended March 31, 2026 included a $0.8 million increase in sales to stocking distributors as compared to the same period in 2025.</w:t>
      </w:r>
    </w:p>
    <w:p>
      <w:pPr>
        <w:spacing w:after="0" w:line="18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Cost of Goods Sold, Gross Profit and Gross Margin. </w:t>
      </w:r>
      <w:r>
        <w:rPr>
          <w:rFonts w:ascii="Times New Roman" w:cs="Times New Roman" w:eastAsia="Times New Roman" w:hAnsi="Times New Roman"/>
          <w:sz w:val="18"/>
          <w:szCs w:val="18"/>
          <w:color w:val="auto"/>
        </w:rPr>
        <w:t>Cost of goods sold decreased by $0.9 million, or 8.3%, for the three months ended March 31, 2026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the same period in 2025. The decrease in cost of goods sold was primarily due to a $0.5 million decrease in royalties, a $0.4 million decrease in inventory provisions, and a $0.4 million decrease in direct cost of goods sold resulting from decreased sales, partially offset by a $0.4 million increase in other costs of goods sold. During the three months ended March 31, 2026, gross profit decreased by $4.5 million, or 10.7%, as compared to the same period in 2025, due to decreased sales. Gross profit margin for the three months ended March 31, 2026 decreased from 79.7% to 79.3%, as compared to the same period in 2025, primarily due to lower margin sales to stocking distributors, and higher other costs of goods sold, partially offset by a decrease in inventory provisions and royalties.</w:t>
      </w:r>
    </w:p>
    <w:p>
      <w:pPr>
        <w:spacing w:after="0" w:line="18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Sales and Marketing Expenses. </w:t>
      </w:r>
      <w:r>
        <w:rPr>
          <w:rFonts w:ascii="Times New Roman" w:cs="Times New Roman" w:eastAsia="Times New Roman" w:hAnsi="Times New Roman"/>
          <w:sz w:val="18"/>
          <w:szCs w:val="18"/>
          <w:color w:val="auto"/>
        </w:rPr>
        <w:t>Sales and marketing expenses decreased by $2.3 million, or 6.5%, for the three months ended March 31, 2026 as compared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same period in 2025. Sales and marketing expenses decreased due to a $1.4 million decrease for surgeon training and clinical-related expenses, a $1.2 million decrease in surgical instrument expense from an increase in useful life from three to five years, and a $0.8 million decrease in direct to consumer advertising costs, partially offset by a $1.0 million increase in commissions, a $0.3 million increase in payroll and related costs, and $0.3 million in higher costs for conferences and events.</w:t>
      </w:r>
    </w:p>
    <w:p>
      <w:pPr>
        <w:spacing w:after="0" w:line="183" w:lineRule="exact"/>
        <w:rPr>
          <w:sz w:val="20"/>
          <w:szCs w:val="20"/>
          <w:color w:val="auto"/>
        </w:rPr>
      </w:pPr>
    </w:p>
    <w:p>
      <w:pPr>
        <w:ind w:right="10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Expenses. </w:t>
      </w:r>
      <w:r>
        <w:rPr>
          <w:rFonts w:ascii="Times New Roman" w:cs="Times New Roman" w:eastAsia="Times New Roman" w:hAnsi="Times New Roman"/>
          <w:sz w:val="18"/>
          <w:szCs w:val="18"/>
          <w:color w:val="auto"/>
        </w:rPr>
        <w:t>R&amp;D expenses decreased by $0.9 million, or 16.9%, for the three months ended March 31, 2026 as compared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same period in 2025. The decrease in R&amp;D expenses was primarily due to a $0.4 million decrease in payroll and related costs, including stock compensation expense, and a $0.3 million decrease in the Company's products and instrumentation used for the R&amp;D process.</w:t>
      </w:r>
    </w:p>
    <w:p>
      <w:pPr>
        <w:spacing w:after="0" w:line="17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Expenses. </w:t>
      </w:r>
      <w:r>
        <w:rPr>
          <w:rFonts w:ascii="Times New Roman" w:cs="Times New Roman" w:eastAsia="Times New Roman" w:hAnsi="Times New Roman"/>
          <w:sz w:val="18"/>
          <w:szCs w:val="18"/>
          <w:color w:val="auto"/>
        </w:rPr>
        <w:t>General and administrative expenses increased by $0.4 million, or 2.4%, for the three months ended March 31, 2026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compared to the same period in 2025. The increase in general and administrative expenses was due to a $2.1 million increase in legal fees primarily driven by ongoing litigation matters, partially offset by a $1.3 million decrease in payroll and related costs, including stock compensation expense, and a $0.4 million decrease in the provision for allowance for credit losses.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i w:val="1"/>
          <w:iCs w:val="1"/>
          <w:color w:val="auto"/>
        </w:rPr>
        <w:t xml:space="preserve">Interest Income. </w:t>
      </w:r>
      <w:r>
        <w:rPr>
          <w:rFonts w:ascii="Times New Roman" w:cs="Times New Roman" w:eastAsia="Times New Roman" w:hAnsi="Times New Roman"/>
          <w:sz w:val="18"/>
          <w:szCs w:val="18"/>
          <w:color w:val="auto"/>
        </w:rPr>
        <w:t>Interest income decreased $0.3 million, or 40.4%, for the three months ended March 31, 2026 as compared to the same period in 2025.</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decrease in interest income was primarily due to lower balances invested in marketable securities during the current year period.</w:t>
      </w:r>
    </w:p>
    <w:p>
      <w:pPr>
        <w:spacing w:after="0" w:line="205" w:lineRule="exact"/>
        <w:rPr>
          <w:sz w:val="20"/>
          <w:szCs w:val="20"/>
          <w:color w:val="auto"/>
        </w:rPr>
      </w:pPr>
    </w:p>
    <w:p>
      <w:pPr>
        <w:ind w:right="2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Interest Expense. </w:t>
      </w:r>
      <w:r>
        <w:rPr>
          <w:rFonts w:ascii="Times New Roman" w:cs="Times New Roman" w:eastAsia="Times New Roman" w:hAnsi="Times New Roman"/>
          <w:sz w:val="18"/>
          <w:szCs w:val="18"/>
          <w:color w:val="auto"/>
        </w:rPr>
        <w:t>Interest expense increased $0.3 million, or 19.8%, for the three months ended March 31, 2026 as compared to the same period in 2025.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increase in interest expense was primarily due to increased amortization of debt issuance costs and a higher debt balance as a result of the debt refinancing in December 2025, partially offset by slightly lower interest rates.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2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Before our initial public offering ("IPO"), our primary sources of capital were private placements of common stock and convertible preferred stock, debt financing agreements and revenue from the sale of our products. In April 2021, we received net proceeds of $107.6 million from our IPO. On February 10, 2023, we received net proceeds of $107.5 million from a follow-on public offering of our common stock.</w:t>
      </w:r>
    </w:p>
    <w:p>
      <w:pPr>
        <w:spacing w:after="0" w:line="176"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In December 2025, we entered into a five year $175.0 million senior secured loan arrangement for a term loan and a revolving credit facility. At the loan closing, we borrowed $60.0 million under tranche one of the term loan. The remaining tranches provide up to an additional $65.0 million in borrowing capacity, of which $55.0 million is subject to the achievement of certain revenue objectives.</w:t>
      </w:r>
    </w:p>
    <w:p>
      <w:pPr>
        <w:spacing w:after="0" w:line="17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revolving loan agreement currently provides $30.0 million in borrowing capacity with the ability to request two additional $10.0 million increases for a total of $50.0 million. The amount available is based on a borrowing base calculation determined by our accounts receivable and inventory assets.</w:t>
      </w:r>
    </w:p>
    <w:p>
      <w:pPr>
        <w:spacing w:after="0" w:line="162"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As of March 31, 2026, we had cash and cash equivalents of $9.5 million and marketable securities of $42.3 million available for sale, an accumulated deficit of $267.0 million, and principal outstanding under our new term loan of $60.0 million. We believe that our existing cash and cash equivalents, marketable securities, available debt borrowings and expected revenues will be sufficient to meet our capital requirements and fund our operations for at least twelve months from the date of issuance of these condensed financial statements. We may be required or decide to raise additional debt or equity financing to support further growth of our operations.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12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We use our cash, marketable securities, and revenues to fund our operations, which primarily include the costs of manufacturing our products, capital expenditures, as well as our operating expenses. The timing and amount of our operating and capital expenditures and use of available funding will depend on many factors, including:</w:t>
      </w:r>
    </w:p>
    <w:p>
      <w:pPr>
        <w:spacing w:after="0" w:line="68" w:lineRule="exact"/>
        <w:rPr>
          <w:sz w:val="20"/>
          <w:szCs w:val="20"/>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degree and rate of market acceptance of our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and timing of our investment in our commercial infrastructure and sales force;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our ongoing commercialization activities including product sales, marketing, manufacturing, and distribution;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competitors and their products, emergence of new competing technologies or other adverse market developments;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our marketing efforts, including the degree to which we utilize direct to consumer campaigns;</w:t>
      </w:r>
    </w:p>
    <w:p>
      <w:pPr>
        <w:spacing w:after="0" w:line="117" w:lineRule="exact"/>
        <w:rPr>
          <w:rFonts w:ascii="Times New Roman" w:cs="Times New Roman" w:eastAsia="Times New Roman" w:hAnsi="Times New Roman"/>
          <w:sz w:val="18"/>
          <w:szCs w:val="18"/>
          <w:color w:val="auto"/>
        </w:rPr>
      </w:pPr>
    </w:p>
    <w:p>
      <w:pPr>
        <w:ind w:left="1020" w:right="240" w:hanging="503"/>
        <w:spacing w:after="0" w:line="266"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filing, prosecuting, defending and enforcing any patent claims and other intellectual property rights, including enforcing our intellectual property rights against infringing products or technologies or enforcing contractual rights against parties breaching agreements with us, including the litigation proceedings we initiated against Stryker and ZB;</w:t>
      </w:r>
    </w:p>
    <w:p>
      <w:pPr>
        <w:spacing w:after="0" w:line="67" w:lineRule="exact"/>
        <w:rPr>
          <w:rFonts w:ascii="Times New Roman" w:cs="Times New Roman" w:eastAsia="Times New Roman" w:hAnsi="Times New Roman"/>
          <w:sz w:val="18"/>
          <w:szCs w:val="18"/>
          <w:color w:val="auto"/>
        </w:rPr>
      </w:pPr>
    </w:p>
    <w:p>
      <w:pPr>
        <w:ind w:left="1020" w:right="200" w:hanging="503"/>
        <w:spacing w:after="0" w:line="282"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research and development activities we intend to undertake to improve the Lapiplasty System and other products, to commercialize PSI technologies, to gain share in the minimally invasive osteotomy market, and to develop or acquire additional products;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need to implement additional infrastructure and internal systems;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7" w:right="339" w:bottom="1440" w:gutter="0" w:footer="0" w:header="0"/>
        </w:sectPr>
      </w:pPr>
    </w:p>
    <w:bookmarkStart w:id="24" w:name="page25"/>
    <w:bookmarkEnd w:id="24"/>
    <w:p>
      <w:pPr>
        <w:ind w:left="1020" w:right="80" w:hanging="503"/>
        <w:spacing w:after="0" w:line="282"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shifts in the surgical setting where bunion surgeries are performed and the pricing and reimbursement sensitivity, contract restrictions, IDNs, GPO and other established relationships, and decision-making processes of the surgical facility;</w:t>
      </w:r>
    </w:p>
    <w:p>
      <w:pPr>
        <w:spacing w:after="0" w:line="53" w:lineRule="exact"/>
        <w:rPr>
          <w:rFonts w:ascii="Times New Roman" w:cs="Times New Roman" w:eastAsia="Times New Roman" w:hAnsi="Times New Roman"/>
          <w:sz w:val="18"/>
          <w:szCs w:val="18"/>
          <w:color w:val="auto"/>
        </w:rPr>
      </w:pPr>
    </w:p>
    <w:p>
      <w:pPr>
        <w:ind w:left="1020" w:right="460" w:hanging="503"/>
        <w:spacing w:after="0" w:line="266"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softening consumer sentiment, higher health insurance, fuel and other costs, inflation, interest rate changes, evolving or increased tariffs, geopolitical tensions, changes in trade policy or global trade disruptions and other general economic conditions on our operations and business;</w:t>
      </w:r>
    </w:p>
    <w:p>
      <w:pPr>
        <w:spacing w:after="0" w:line="67" w:lineRule="exact"/>
        <w:rPr>
          <w:rFonts w:ascii="Times New Roman" w:cs="Times New Roman" w:eastAsia="Times New Roman" w:hAnsi="Times New Roman"/>
          <w:sz w:val="18"/>
          <w:szCs w:val="18"/>
          <w:color w:val="auto"/>
        </w:rPr>
      </w:pPr>
    </w:p>
    <w:p>
      <w:pPr>
        <w:ind w:left="1020" w:right="160" w:hanging="503"/>
        <w:spacing w:after="0" w:line="282"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customers to pay us for our products, including stocking distributors which generally have longer payment terms than hospital and ambulatory surgery center customers;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obtain adequate supplies of materials and components for our products, including from single-source suppliers;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product liability or other lawsuits related to our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expenses needed to attract and retain skilled personnel; and</w:t>
      </w:r>
    </w:p>
    <w:p>
      <w:pPr>
        <w:spacing w:after="0" w:line="117" w:lineRule="exact"/>
        <w:rPr>
          <w:rFonts w:ascii="Times New Roman" w:cs="Times New Roman" w:eastAsia="Times New Roman" w:hAnsi="Times New Roman"/>
          <w:sz w:val="18"/>
          <w:szCs w:val="18"/>
          <w:color w:val="auto"/>
        </w:rPr>
      </w:pPr>
    </w:p>
    <w:p>
      <w:pPr>
        <w:ind w:left="1020" w:right="340" w:hanging="503"/>
        <w:spacing w:after="0" w:line="282"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any infectious disease outbreak or natural or other disaster or event beyond our control on our business or on the healthcare industry, particularly elective surgeries where our products are used.</w:t>
      </w:r>
    </w:p>
    <w:p>
      <w:pPr>
        <w:spacing w:after="0" w:line="162"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Based upon our current operating plan, we believe that our existing cash, cash equivalents, marketable securities, and available debt borrowings will enable us to fund our operating expenses and capital expenditure requirements for at least the next twelve months. We have based this estimate on assumptions that may prove to be wrong or that may change in the future, and we could utilize our available capital resources sooner than we expect. We may seek to raise any necessary additional capital through public or private equity offerings or debt financings, credit or loan facilities or a combination of one or more of these or other funding sources. Additional funds may not be available to us on acceptable terms or at all. If we fail to obtain necessary capital when needed on acceptable terms, or at all, we could be forced to delay, limit, reduce or terminate our product development programs, commercialization efforts, sales and marketing initiatives, or other operations. If we raise additional funds by issuing equity securities, our stockholders will suffer dilution, and the terms of any financing may adversely affect the rights of our stockholders. In addition, as a condition to providing additional funds to us, future investors may demand, and may be granted, rights superior to those of existing stockholders. Debt financing, if available, is likely to involve restrictive covenants limiting our flexibility in conducting future business activities, and in the event of insolvency, debt holders would be repaid before holders of our equity securities received any distribution of our corporate assets.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primary sources and uses of cash and cash equivalents for the periods presented below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72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920" w:type="dxa"/>
            <w:vAlign w:val="bottom"/>
            <w:tcBorders>
              <w:bottom w:val="single" w:sz="8" w:color="auto"/>
            </w:tcBorders>
            <w:gridSpan w:val="4"/>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60" w:type="dxa"/>
            <w:vAlign w:val="bottom"/>
            <w:tcBorders>
              <w:bottom w:val="single" w:sz="8" w:color="auto"/>
            </w:tcBorders>
          </w:tcPr>
          <w:p>
            <w:pPr>
              <w:spacing w:after="0"/>
              <w:rPr>
                <w:sz w:val="15"/>
                <w:szCs w:val="15"/>
                <w:color w:val="auto"/>
              </w:rPr>
            </w:pPr>
          </w:p>
        </w:tc>
      </w:tr>
      <w:tr>
        <w:trPr>
          <w:trHeight w:val="142"/>
        </w:trPr>
        <w:tc>
          <w:tcPr>
            <w:tcW w:w="57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020" w:type="dxa"/>
            <w:vAlign w:val="bottom"/>
          </w:tcPr>
          <w:p>
            <w:pPr>
              <w:jc w:val="right"/>
              <w:ind w:right="2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660" w:type="dxa"/>
            <w:vAlign w:val="bottom"/>
          </w:tcPr>
          <w:p>
            <w:pPr>
              <w:spacing w:after="0"/>
              <w:rPr>
                <w:sz w:val="12"/>
                <w:szCs w:val="12"/>
                <w:color w:val="auto"/>
              </w:rPr>
            </w:pPr>
          </w:p>
        </w:tc>
        <w:tc>
          <w:tcPr>
            <w:tcW w:w="1240" w:type="dxa"/>
            <w:vAlign w:val="bottom"/>
            <w:gridSpan w:val="2"/>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60" w:type="dxa"/>
            <w:vAlign w:val="bottom"/>
          </w:tcPr>
          <w:p>
            <w:pPr>
              <w:spacing w:after="0"/>
              <w:rPr>
                <w:sz w:val="12"/>
                <w:szCs w:val="12"/>
                <w:color w:val="auto"/>
              </w:rPr>
            </w:pPr>
          </w:p>
        </w:tc>
      </w:tr>
      <w:tr>
        <w:trPr>
          <w:trHeight w:val="210"/>
        </w:trPr>
        <w:tc>
          <w:tcPr>
            <w:tcW w:w="5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provided by:</w:t>
            </w:r>
          </w:p>
        </w:tc>
        <w:tc>
          <w:tcPr>
            <w:tcW w:w="1940" w:type="dxa"/>
            <w:vAlign w:val="bottom"/>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r>
      <w:tr>
        <w:trPr>
          <w:trHeight w:val="216"/>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2960" w:type="dxa"/>
            <w:vAlign w:val="bottom"/>
            <w:gridSpan w:val="2"/>
          </w:tcPr>
          <w:p>
            <w:pPr>
              <w:jc w:val="right"/>
              <w:ind w:right="842"/>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7,240</w:t>
            </w:r>
          </w:p>
        </w:tc>
        <w:tc>
          <w:tcPr>
            <w:tcW w:w="1240" w:type="dxa"/>
            <w:vAlign w:val="bottom"/>
            <w:gridSpan w:val="2"/>
          </w:tcPr>
          <w:p>
            <w:pPr>
              <w:jc w:val="right"/>
              <w:ind w:right="9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4,198</w:t>
            </w:r>
          </w:p>
        </w:tc>
      </w:tr>
      <w:tr>
        <w:trPr>
          <w:trHeight w:val="216"/>
        </w:trPr>
        <w:tc>
          <w:tcPr>
            <w:tcW w:w="5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19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(7,816)</w:t>
            </w: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(1,894)</w:t>
            </w:r>
          </w:p>
        </w:tc>
      </w:tr>
      <w:tr>
        <w:trPr>
          <w:trHeight w:val="216"/>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194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24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w:t>
            </w:r>
          </w:p>
        </w:tc>
      </w:tr>
      <w:tr>
        <w:trPr>
          <w:trHeight w:val="230"/>
        </w:trPr>
        <w:tc>
          <w:tcPr>
            <w:tcW w:w="5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194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842"/>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(1,164)</w:t>
            </w:r>
          </w:p>
        </w:tc>
        <w:tc>
          <w:tcPr>
            <w:tcW w:w="1240" w:type="dxa"/>
            <w:vAlign w:val="bottom"/>
            <w:gridSpan w:val="2"/>
            <w:shd w:val="clear" w:color="auto" w:fill="CFF0FC"/>
          </w:tcPr>
          <w:p>
            <w:pPr>
              <w:jc w:val="right"/>
              <w:ind w:right="9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2,022</w:t>
            </w:r>
          </w:p>
        </w:tc>
      </w:tr>
      <w:tr>
        <w:trPr>
          <w:trHeight w:val="20"/>
        </w:trPr>
        <w:tc>
          <w:tcPr>
            <w:tcW w:w="5720" w:type="dxa"/>
            <w:vAlign w:val="bottom"/>
            <w:tcBorders>
              <w:top w:val="single" w:sz="8" w:color="CFF0FC"/>
            </w:tcBorders>
            <w:shd w:val="clear" w:color="auto" w:fill="CFF0FC"/>
          </w:tcPr>
          <w:p>
            <w:pPr>
              <w:spacing w:after="0" w:line="20" w:lineRule="exact"/>
              <w:rPr>
                <w:sz w:val="1"/>
                <w:szCs w:val="1"/>
                <w:color w:val="auto"/>
              </w:rPr>
            </w:pPr>
          </w:p>
        </w:tc>
        <w:tc>
          <w:tcPr>
            <w:tcW w:w="194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5937250</wp:posOffset>
            </wp:positionH>
            <wp:positionV relativeFrom="paragraph">
              <wp:posOffset>-24765</wp:posOffset>
            </wp:positionV>
            <wp:extent cx="14605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-7620</wp:posOffset>
            </wp:positionV>
            <wp:extent cx="14605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46050" cy="8255"/>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Operating Activities</w:t>
      </w:r>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Net cash provided by operating activities for the three months ended March 31, 2026 was $7.2 million, consisting primarily of a net loss of $18.0 million, adjusted for non-cash charges of $10.5 million and a decrease in net operating assets. The non-cash charges consist primarily of $8.0 million in share-based compensation expense, $0.9 million in depreciation and amortization, $0.6 million in non-cash lease expense, and $0.3 million in amortization of debt issuance costs. The decrease in net operating assets was primarily due to a $11.7 million decrease in accounts receivable from collection on higher sales in the fourth quarter of 2025, a $6.8 million increase in accounts payable due to timing of payments, and a $0.6 million decrease in prepaid and other current assets, partially offset by a $3.1 million decrease in accrued liabilities, a $0.9 million decrease in operating lease liabilities, and a $0.3 million increase in inventory. The decrease in accrued liabilities was primarily from a decrease in accrued commissions from lower sales in the first quarter of 2026 compared to the fourth quarter of 2025.</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5" w:name="page26"/>
    <w:bookmarkEnd w:id="25"/>
    <w:p>
      <w:pPr>
        <w:spacing w:after="0" w:line="255" w:lineRule="auto"/>
        <w:rPr>
          <w:sz w:val="20"/>
          <w:szCs w:val="20"/>
          <w:color w:val="auto"/>
        </w:rPr>
      </w:pPr>
      <w:r>
        <w:rPr>
          <w:rFonts w:ascii="Times New Roman" w:cs="Times New Roman" w:eastAsia="Times New Roman" w:hAnsi="Times New Roman"/>
          <w:sz w:val="18"/>
          <w:szCs w:val="18"/>
          <w:color w:val="auto"/>
        </w:rPr>
        <w:t>Net cash provided by operating activities for the three months ended March 31, 2025 was $4.2 million, consisting primarily of a net loss of $15.9 million, adjusted for non-cash charges of $12.4 million and a decrease in net operating assets. The non-cash charges consist primarily of $8.7 million in share-based compensation expense, $2.5 million in depreciation and amortization, $0.6 million of non-cash lease expense, and $0.4 million in the provision for allowance for credit losses. The decrease in net operating assets was primarily due to a $9.3 million decrease in accounts receivable from higher sales in the fourth quarter of 2024, a $1.4 million decrease in prepaid expenses and other current assets, a $1.3 million decrease in inventory, and an $2.7 million increase in accounts payable due to timing of payments, partially offset by a $6.2 million decrease in accrued liabilities due to timing of payments and a $0.8 million decrease in operating lease liabilities.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Investing Activities</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Net cash used in investing activities was $7.8 million for the three months ended March 31, 2026, consisting primarily of $16.1 million in purchases of available-for-sale marketable securities and $3.1 million in purchases of property and equipment, partially offset by $11.3 million in sales and maturities of available-for-sale marketable securities. The purchases of property and equipment included $2.5 million in capitalized surgical instruments for the reusable instrument trays primarily related to our new products, and $0.6 million primarily for equipment and internal use software to support the business.</w:t>
      </w:r>
    </w:p>
    <w:p>
      <w:pPr>
        <w:spacing w:after="0" w:line="18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Net cash used in investing activities was $1.9 million for the three months ended March 31, 2025, consisting primarily of $15.1 million in purchases of available for sale marketable securities and $3.5 million in purchases of property and equipment, partially offset by $16.7 million in sales and maturities of available for sale marketable securities. The net of marketable securities sales and maturities and purchases of $1.6 million were primarily used to fund our current operations. The purchases of property and equipment included $2.8 million in capitalized surgical instruments for the reusable instrument trays related to new products, and $0.7 million for equipment and leasehold improvements to support the growth of our business.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Financing Activities</w:t>
      </w:r>
    </w:p>
    <w:p>
      <w:pPr>
        <w:spacing w:after="0" w:line="121"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Net cash used in financing activities was $0.6 million for the three months ended March 31, 2026, consisting primarily of $0.5 million in payments on insurance premium financing and $0.2 million of shares repurchased for tax withholding on vested restricted stock units.</w:t>
      </w:r>
    </w:p>
    <w:p>
      <w:pPr>
        <w:spacing w:after="0" w:line="162" w:lineRule="exact"/>
        <w:rPr>
          <w:sz w:val="20"/>
          <w:szCs w:val="20"/>
          <w:color w:val="auto"/>
        </w:rPr>
      </w:pPr>
    </w:p>
    <w:p>
      <w:pPr>
        <w:ind w:right="860"/>
        <w:spacing w:after="0" w:line="282" w:lineRule="auto"/>
        <w:rPr>
          <w:sz w:val="20"/>
          <w:szCs w:val="20"/>
          <w:color w:val="auto"/>
        </w:rPr>
      </w:pPr>
      <w:r>
        <w:rPr>
          <w:rFonts w:ascii="Times New Roman" w:cs="Times New Roman" w:eastAsia="Times New Roman" w:hAnsi="Times New Roman"/>
          <w:sz w:val="18"/>
          <w:szCs w:val="18"/>
          <w:color w:val="auto"/>
        </w:rPr>
        <w:t>Net cash used in financing activities was $0.3 million for the three months ended March 31, 2025, consisting primarily of $0.4 million of shares repurchased for tax withholding on vested restricted stock units, partially offset by $0.1 million in proceeds from stock option exercises.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Royalty Agreements</w:t>
      </w:r>
    </w:p>
    <w:p>
      <w:pPr>
        <w:spacing w:after="0" w:line="12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We recognized royalty expense of $1.2 million and $1.6 million for the three months ended March 31, 2026 and 2025, respectively. For the three months ended March 31, 2026 and 2025, the aggregate royalty rate was 2.5% and 3.1%, respectively. Each of the royalty agreements with our surgeon consultants prohibits the payment of royalties on products sold to entities and/or individuals with whom any of the surgeon consultants is affiliated.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Lease</w:t>
      </w:r>
    </w:p>
    <w:p>
      <w:pPr>
        <w:spacing w:after="0" w:line="121"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7"/>
          <w:szCs w:val="17"/>
          <w:color w:val="auto"/>
        </w:rPr>
        <w:t>We have commitments for future payments related to our corporate headquarters office located in Ponte Vedra, Florida. We entered into a 10-year lease in February 2022 for our headquarters which expires in July 2032. Lease payments comprise the base rent plus operating costs which include taxes, insurance, and common area maintenance. We also have commitments for future payments related to our former headquarters which expire in April 2026 and have subleased this space for the remainder of our lease term. The remaining lease obligations are $19.1 million under these leases as of March 31, 2026.</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Management’s discussion and analysis of our financial condition and results of operations is based on our condensed financial statements, which have been prepared in accordance with U.S. generally accepted accounting principles. The preparation of the condensed financial statements requires us to make estimates and assumptions for the reported amounts of assets, liabilities, revenue, expenses, and related disclosures. Our estimates are based on our historical experience and on various other factors that we believe are reasonable under the circumstances, the results of which form the basis for making</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9" w:right="359" w:bottom="1440" w:gutter="0" w:footer="0" w:header="0"/>
        </w:sectPr>
      </w:pPr>
    </w:p>
    <w:bookmarkStart w:id="26" w:name="page27"/>
    <w:bookmarkEnd w:id="26"/>
    <w:p>
      <w:pPr>
        <w:ind w:right="20"/>
        <w:spacing w:after="0" w:line="282" w:lineRule="auto"/>
        <w:rPr>
          <w:sz w:val="20"/>
          <w:szCs w:val="20"/>
          <w:color w:val="auto"/>
        </w:rPr>
      </w:pPr>
      <w:r>
        <w:rPr>
          <w:rFonts w:ascii="Times New Roman" w:cs="Times New Roman" w:eastAsia="Times New Roman" w:hAnsi="Times New Roman"/>
          <w:sz w:val="18"/>
          <w:szCs w:val="18"/>
          <w:color w:val="auto"/>
        </w:rPr>
        <w:t>judgments about the carrying value of assets and liabilities that are not readily apparent from other sources. Actual results may differ from these estimates under different assumptions or conditions and any such differences may be material.</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12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Our annual impairment testing date was July 1, 2025. We determined after performing the qualitative analysis that there was no evidence that it is more likely than not that the fair value of goodwill was less than the carrying amount. Therefore, it was not necessary to perform a quantitative impairment test. As of March 31, 2026 and December 31, 2025, goodwill was $12.8 million.</w:t>
      </w:r>
    </w:p>
    <w:p>
      <w:pPr>
        <w:spacing w:after="0" w:line="17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Our critical accounting policies and estimates are described in "Management's Discussion and Analysis of Financial Condition and Results of Operations– Critical Accounting Policies and Estimates" in our Annual Report. There were no material changes to these accounting policies during the three months ended March 31, 2026.</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21"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Refer to Note 3, "Recent Accounting Pronouncements," of the Notes to Condensed Financial Statements for new accounting pronouncements not yet adopted as of this Quarterly Report.</w:t>
      </w:r>
    </w:p>
    <w:p>
      <w:pPr>
        <w:spacing w:after="0" w:line="16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01" w:right="4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Risk</w:t>
      </w:r>
    </w:p>
    <w:p>
      <w:pPr>
        <w:spacing w:after="0" w:line="12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from the market risk information previously disclosed in our Annual Report under "Part II. Item 7A. Quantitative and Qualitative Disclosures About Market Risk."</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2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Our management, with the participation and supervision of our Chief Executive Officer and our Chief Financial Officer, has evaluated the effectiveness of our disclosure controls and procedures (as defined in Rules 13a-15(e) and 15d-15(e) under the Exchange Act) as of the end of the period covered by this Quarterly Report. Based on that evaluation, our Chief Executive Officer and Chief Financial Officer have concluded that, as of the end of the period covered by this Quarterly Report, our disclosure controls and procedures were effective to provide reasonable assurance that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Chief Executive Officer and Chief Financial Officer, as appropriate, to allow timely decisions regarding required disclosure.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identified in connection with the evaluation required by Rules 13a-15(d) and 15d-15(d) of the Exchange Act that occurred during the period covered by this Quarterly Report that has materially affected, or is reasonably likely to materially affect, our internal control over financial reporting.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Inherent limitation on the effectiveness of internal control</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management, including our Chief Executive Officer and Chief Financial Officer, does not expect that our disclosure controls or our internal control over financial reporting will prevent all errors and all fraud. A control system, no matter how well designed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8" w:name="page29"/>
    <w:bookmarkEnd w:id="2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Except as described below, we are not a party to any legal proceedings which we believe would have a material adverse effect on our business or results of operations. From time to time, we may become involved in various legal proceedings that arise in the ordinary course of our business.</w:t>
      </w:r>
    </w:p>
    <w:p>
      <w:pPr>
        <w:spacing w:after="0" w:line="16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On April 11, 2025, a shareholder filed a class action complaint in the United States District Court for the Middle District of Florida (captioned </w:t>
      </w:r>
      <w:r>
        <w:rPr>
          <w:rFonts w:ascii="Times New Roman" w:cs="Times New Roman" w:eastAsia="Times New Roman" w:hAnsi="Times New Roman"/>
          <w:sz w:val="18"/>
          <w:szCs w:val="18"/>
          <w:i w:val="1"/>
          <w:iCs w:val="1"/>
          <w:color w:val="auto"/>
        </w:rPr>
        <w:t>McCluney 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Treace Medical Concepts, Inc. et al. </w:t>
      </w:r>
      <w:r>
        <w:rPr>
          <w:rFonts w:ascii="Times New Roman" w:cs="Times New Roman" w:eastAsia="Times New Roman" w:hAnsi="Times New Roman"/>
          <w:sz w:val="18"/>
          <w:szCs w:val="18"/>
          <w:color w:val="auto"/>
        </w:rPr>
        <w:t>Case No. 3:25-cv-00390-WWB-PDB) against us and certain of our officers on behalf of all persons who purchased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otherwise acquired our stock between May 8, 2023 and May 7, 2024 alleging that we and certain of our current executives violated the federal securities laws by making false or misleading statements and failing to disclose material adverse facts about our business, operations and prospects. Specifically, the complaint alleges that we failed to disclose the impact of competition on demand for and utilization of our products and the need to accelerate our plans to offer a new osteotomy product and that our positive statements about our business, operations, and prospects were materially misleading and/or lacked a reasonable basis. The plaintiffs seek unspecified monetary damages, costs, and attorneys’ fees. On July 1, 2025, the court appointed the lead plaintiff and lead counsel. The plaintiffs filed an amended complaint on July 31, 2025, and we filed a motion to dismiss on September 5, 2025. The action is in the preliminary stage. We dispute the allegations in the complaint and intend to defend against this complaint vigorously. Based on the preliminary nature of the proceedings in this action, the outcome remains uncertain, and we cannot reasonably estimate the potential impact, if any, on our business or financial statements at this time. We are insured for Directors and Officers liability for amounts in excess of the retention and up to the policy limits.</w:t>
      </w:r>
    </w:p>
    <w:p>
      <w:pPr>
        <w:spacing w:after="0" w:line="194"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On October 14, 2024, we filed a lawsuit against Stryker Corporation and its subsidiary Wright Medical Technology, Inc. (collectively, "Stryker") alleging infringement of 9 patents related to our innovative Lapiplasty 3D Bunion Correction technologies and unfair competition. The suit was filed in the United States District Court for the District of New Jersey and seeks injunctive relief and damages. On January 24, 2025, Stryker filed a motion to dismiss the unfair competition claims which the Court granted on October 2, 2025 without prejudice. We filed a first amended complaint on October 24, 2025, and Stryker subsequently filed another motion to dismiss the unfair competition claims on December 5, 2025. The Court denied Stryker’s motions and applications to stay discovery pending a ruling on its new motion to dismiss. The case has continued with the parties exchanging claim construction briefs. Discovery is ongoing, and a Markman hearing has been scheduled for May 21, 2026.</w:t>
      </w:r>
    </w:p>
    <w:p>
      <w:pPr>
        <w:spacing w:after="0" w:line="18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On May 22, 2025, Stryker European Operations Holdings LLC and Howmedica Osteonics Corp. filed a suit in the United States District Court for the District of Delaware (captioned S</w:t>
      </w:r>
      <w:r>
        <w:rPr>
          <w:rFonts w:ascii="Times New Roman" w:cs="Times New Roman" w:eastAsia="Times New Roman" w:hAnsi="Times New Roman"/>
          <w:sz w:val="18"/>
          <w:szCs w:val="18"/>
          <w:i w:val="1"/>
          <w:iCs w:val="1"/>
          <w:color w:val="auto"/>
        </w:rPr>
        <w:t>tryker European Operations Holdings LLC et al v. Treace Medical Concepts, Inc.</w:t>
      </w:r>
      <w:r>
        <w:rPr>
          <w:rFonts w:ascii="Times New Roman" w:cs="Times New Roman" w:eastAsia="Times New Roman" w:hAnsi="Times New Roman"/>
          <w:sz w:val="18"/>
          <w:szCs w:val="18"/>
          <w:color w:val="auto"/>
        </w:rPr>
        <w:t xml:space="preserve"> Case No. 1:25-cv-00637-GBW) against us for patent infringement by our PEEK hammertoe product. The plaintiffs seek findings of patent infringement, equitable relief, unspecified monetary damages, enhanced damages for willful patent infringement, interest, costs, and attorneys’ fees. We dispute the allegations in the complaint, and on August 4, 2025, we moved to dismiss all of the claims in the suit. The court denied our motion to dismiss, noting that additional claim construction proceedings would be helpful for the court to resolve the issues presented in the motion to dismiss. We filed an answer on February 19, 2026, amended on March 12, 2026, including defenses and declaratory judgement of invalidity and non-infringement counterclaims. The plaintiffs filed an answer to our counterclaims on March 26, 2026. Based on the preliminary nature of the proceedings in this action, the outcome remains uncertain, and we cannot estimate the potential impact, if any, on our business or financial statements at this time.</w:t>
      </w:r>
    </w:p>
    <w:p>
      <w:pPr>
        <w:spacing w:after="0" w:line="18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 xml:space="preserve">On May 12, 2025, we filed a lawsuit in the United States District Court for the District of Delaware (captioned </w:t>
      </w:r>
      <w:r>
        <w:rPr>
          <w:rFonts w:ascii="Times New Roman" w:cs="Times New Roman" w:eastAsia="Times New Roman" w:hAnsi="Times New Roman"/>
          <w:sz w:val="18"/>
          <w:szCs w:val="18"/>
          <w:i w:val="1"/>
          <w:iCs w:val="1"/>
          <w:color w:val="auto"/>
        </w:rPr>
        <w:t>Treace Medical Concepts, Inc. v. Zimmer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Biomet Holdings, Inc. et al. </w:t>
      </w:r>
      <w:r>
        <w:rPr>
          <w:rFonts w:ascii="Times New Roman" w:cs="Times New Roman" w:eastAsia="Times New Roman" w:hAnsi="Times New Roman"/>
          <w:sz w:val="18"/>
          <w:szCs w:val="18"/>
          <w:color w:val="auto"/>
        </w:rPr>
        <w:t>Case No. 1:25-cv-00592-CBW) against Zimmer Biomet Holdings, Inc. and Paragon 28, Inc. alleging infringement of 4 patents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related to our innovative Lapiplasty 3D Bunion Correction technologies and seeking injunctive relief and damages. On August 5, 2025, we filed an amended complaint alleging infringement of an additional patent. On December 19, 2025, the defendants moved to dismiss certain patent claims, claims of willful infringement, and all claims against Zimmer Biomet Holdings, Inc. In December 2025 and January 2026, Paragon 28 filed petitions for inter partes review and post-grant review before the Patent Trial and Appeal Board ("PTAB") seeking further administrative review of the validity of four of the five patents-in-suit. On February 17, 2026, we filed an opposition to the defendants’ motion to dismiss. On March 4, 2026, the defendants filed a motion to stay the case pending review of the 5 asserted patents by the Patent and Trademark Appeals Board, in connection to 4 post-grant and 1 inter partes review petitions filed by Paragon 28, Inc. We filed a motion to sever and consolidate the patent claims of Case No. 25-1092-GBW into this case. All motions have been briefed, and we are awaiting a decision.</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29" w:name="page30"/>
    <w:bookmarkEnd w:id="29"/>
    <w:p>
      <w:pPr>
        <w:spacing w:after="0" w:line="254" w:lineRule="auto"/>
        <w:rPr>
          <w:sz w:val="20"/>
          <w:szCs w:val="20"/>
          <w:color w:val="auto"/>
        </w:rPr>
      </w:pPr>
      <w:r>
        <w:rPr>
          <w:rFonts w:ascii="Times New Roman" w:cs="Times New Roman" w:eastAsia="Times New Roman" w:hAnsi="Times New Roman"/>
          <w:sz w:val="18"/>
          <w:szCs w:val="18"/>
          <w:color w:val="auto"/>
        </w:rPr>
        <w:t xml:space="preserve">On August 29, 2025, Paragon 28, Inc. and Disior Oy filed a lawsuit in the United States District Court for the District of Delaware (captioned </w:t>
      </w:r>
      <w:r>
        <w:rPr>
          <w:rFonts w:ascii="Times New Roman" w:cs="Times New Roman" w:eastAsia="Times New Roman" w:hAnsi="Times New Roman"/>
          <w:sz w:val="18"/>
          <w:szCs w:val="18"/>
          <w:i w:val="1"/>
          <w:iCs w:val="1"/>
          <w:color w:val="auto"/>
        </w:rPr>
        <w:t>Paragon 28,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Inc. et al v. Treace Medical Concepts, Inc. et al. </w:t>
      </w:r>
      <w:r>
        <w:rPr>
          <w:rFonts w:ascii="Times New Roman" w:cs="Times New Roman" w:eastAsia="Times New Roman" w:hAnsi="Times New Roman"/>
          <w:sz w:val="18"/>
          <w:szCs w:val="18"/>
          <w:color w:val="auto"/>
        </w:rPr>
        <w:t>Case No. 1:25-cv-01092-GBW) against us and RPM-3D alleging RPM-3D improperly acquired, used,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disclosed confidential and trade secret technology from Disior's software to develop software acquired by us and seeking injunctive relief and damages. On December 18, 2025, Paragon 28, Inc. and Disior Oy filed an amended complaint adding patent and copyright infringement to their claims. We filed an answer to the amended complaint, including defenses and declaratory judgment of invalidity and non-infringement counterclaims, on February 17, 2026. On March 10, 2026, the plaintiffs filed an answer to our counterclaims, and we filed motions to sever and consolidate the patent claims into C.A. No. 25-592-GBW, our patent infringement case against Zimmer Biomet Holdings, Inc. and Paragon 28, Inc. We filed an amended answer on March 27, 2026, and the plaintiffs filed an amended answer on April 9, 2026. Based on the preliminary nature of the proceedings in this action, the outcome remains uncertain, and we cannot estimate the potential impact, if any, on our business or financial statements at this time.</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from the risk factors previously disclosed in our Annual Report on Form 10-K under "Part I, Item 1A. Risk Factors" for the year ended December 31, 2025, filed with the SEC on February 27, 2026.</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Issuer Purchases of Equity Securities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information with respect to the Company's repurchases of stock during the three months ended March 31, 2026.</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40" w:type="dxa"/>
            <w:vAlign w:val="bottom"/>
          </w:tcPr>
          <w:p>
            <w:pPr>
              <w:spacing w:after="0"/>
              <w:rPr>
                <w:sz w:val="13"/>
                <w:szCs w:val="13"/>
                <w:color w:val="auto"/>
              </w:rPr>
            </w:pPr>
          </w:p>
        </w:tc>
        <w:tc>
          <w:tcPr>
            <w:tcW w:w="1040" w:type="dxa"/>
            <w:vAlign w:val="bottom"/>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Total Number</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jc w:val="center"/>
              <w:ind w:right="156"/>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40" w:type="dxa"/>
            <w:vAlign w:val="bottom"/>
          </w:tcPr>
          <w:p>
            <w:pPr>
              <w:spacing w:after="0"/>
              <w:rPr>
                <w:sz w:val="13"/>
                <w:szCs w:val="13"/>
                <w:color w:val="auto"/>
              </w:rPr>
            </w:pPr>
          </w:p>
        </w:tc>
        <w:tc>
          <w:tcPr>
            <w:tcW w:w="2800" w:type="dxa"/>
            <w:vAlign w:val="bottom"/>
            <w:vMerge w:val="restart"/>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Total Number of Shares Purchased as part</w:t>
            </w:r>
          </w:p>
        </w:tc>
        <w:tc>
          <w:tcPr>
            <w:tcW w:w="100" w:type="dxa"/>
            <w:vAlign w:val="bottom"/>
          </w:tcPr>
          <w:p>
            <w:pPr>
              <w:spacing w:after="0"/>
              <w:rPr>
                <w:sz w:val="13"/>
                <w:szCs w:val="13"/>
                <w:color w:val="auto"/>
              </w:rPr>
            </w:pPr>
          </w:p>
        </w:tc>
        <w:tc>
          <w:tcPr>
            <w:tcW w:w="238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Approximate Dollar Value of Shares</w:t>
            </w:r>
          </w:p>
        </w:tc>
        <w:tc>
          <w:tcPr>
            <w:tcW w:w="0" w:type="dxa"/>
            <w:vAlign w:val="bottom"/>
          </w:tcPr>
          <w:p>
            <w:pPr>
              <w:spacing w:after="0"/>
              <w:rPr>
                <w:sz w:val="1"/>
                <w:szCs w:val="1"/>
                <w:color w:val="auto"/>
              </w:rPr>
            </w:pPr>
          </w:p>
        </w:tc>
      </w:tr>
      <w:tr>
        <w:trPr>
          <w:trHeight w:val="148"/>
        </w:trPr>
        <w:tc>
          <w:tcPr>
            <w:tcW w:w="3740" w:type="dxa"/>
            <w:vAlign w:val="bottom"/>
          </w:tcPr>
          <w:p>
            <w:pPr>
              <w:spacing w:after="0"/>
              <w:rPr>
                <w:sz w:val="12"/>
                <w:szCs w:val="12"/>
                <w:color w:val="auto"/>
              </w:rPr>
            </w:pPr>
          </w:p>
        </w:tc>
        <w:tc>
          <w:tcPr>
            <w:tcW w:w="1040" w:type="dxa"/>
            <w:vAlign w:val="bottom"/>
          </w:tcPr>
          <w:p>
            <w:pPr>
              <w:jc w:val="center"/>
              <w:ind w:right="98"/>
              <w:spacing w:after="0" w:line="149"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120" w:type="dxa"/>
            <w:vAlign w:val="bottom"/>
          </w:tcPr>
          <w:p>
            <w:pPr>
              <w:spacing w:after="0"/>
              <w:rPr>
                <w:sz w:val="12"/>
                <w:szCs w:val="12"/>
                <w:color w:val="auto"/>
              </w:rPr>
            </w:pPr>
          </w:p>
        </w:tc>
        <w:tc>
          <w:tcPr>
            <w:tcW w:w="920" w:type="dxa"/>
            <w:vAlign w:val="bottom"/>
            <w:gridSpan w:val="2"/>
          </w:tcPr>
          <w:p>
            <w:pPr>
              <w:jc w:val="center"/>
              <w:ind w:right="76"/>
              <w:spacing w:after="0" w:line="149" w:lineRule="exact"/>
              <w:rPr>
                <w:sz w:val="20"/>
                <w:szCs w:val="20"/>
                <w:color w:val="auto"/>
              </w:rPr>
            </w:pPr>
            <w:r>
              <w:rPr>
                <w:rFonts w:ascii="Times New Roman" w:cs="Times New Roman" w:eastAsia="Times New Roman" w:hAnsi="Times New Roman"/>
                <w:sz w:val="14"/>
                <w:szCs w:val="14"/>
                <w:b w:val="1"/>
                <w:bCs w:val="1"/>
                <w:color w:val="auto"/>
              </w:rPr>
              <w:t>Price Paid</w:t>
            </w:r>
          </w:p>
        </w:tc>
        <w:tc>
          <w:tcPr>
            <w:tcW w:w="140" w:type="dxa"/>
            <w:vAlign w:val="bottom"/>
          </w:tcPr>
          <w:p>
            <w:pPr>
              <w:spacing w:after="0"/>
              <w:rPr>
                <w:sz w:val="12"/>
                <w:szCs w:val="12"/>
                <w:color w:val="auto"/>
              </w:rPr>
            </w:pPr>
          </w:p>
        </w:tc>
        <w:tc>
          <w:tcPr>
            <w:tcW w:w="28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380" w:type="dxa"/>
            <w:vAlign w:val="bottom"/>
          </w:tcPr>
          <w:p>
            <w:pPr>
              <w:jc w:val="center"/>
              <w:ind w:right="58"/>
              <w:spacing w:after="0" w:line="149" w:lineRule="exact"/>
              <w:rPr>
                <w:sz w:val="20"/>
                <w:szCs w:val="20"/>
                <w:color w:val="auto"/>
              </w:rPr>
            </w:pPr>
            <w:r>
              <w:rPr>
                <w:rFonts w:ascii="Times New Roman" w:cs="Times New Roman" w:eastAsia="Times New Roman" w:hAnsi="Times New Roman"/>
                <w:sz w:val="14"/>
                <w:szCs w:val="14"/>
                <w:b w:val="1"/>
                <w:bCs w:val="1"/>
                <w:color w:val="auto"/>
              </w:rPr>
              <w:t>that May Yet Be Purchased Under</w:t>
            </w:r>
          </w:p>
        </w:tc>
        <w:tc>
          <w:tcPr>
            <w:tcW w:w="0" w:type="dxa"/>
            <w:vAlign w:val="bottom"/>
          </w:tcPr>
          <w:p>
            <w:pPr>
              <w:spacing w:after="0"/>
              <w:rPr>
                <w:sz w:val="1"/>
                <w:szCs w:val="1"/>
                <w:color w:val="auto"/>
              </w:rPr>
            </w:pPr>
          </w:p>
        </w:tc>
      </w:tr>
      <w:tr>
        <w:trPr>
          <w:trHeight w:val="173"/>
        </w:trPr>
        <w:tc>
          <w:tcPr>
            <w:tcW w:w="37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040" w:type="dxa"/>
            <w:vAlign w:val="bottom"/>
            <w:tcBorders>
              <w:bottom w:val="single" w:sz="8" w:color="auto"/>
            </w:tcBorders>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1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40" w:type="dxa"/>
            <w:vAlign w:val="bottom"/>
          </w:tcPr>
          <w:p>
            <w:pPr>
              <w:spacing w:after="0"/>
              <w:rPr>
                <w:sz w:val="15"/>
                <w:szCs w:val="15"/>
                <w:color w:val="auto"/>
              </w:rPr>
            </w:pPr>
          </w:p>
        </w:tc>
        <w:tc>
          <w:tcPr>
            <w:tcW w:w="280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of Publicly Announced Plans or Programs</w:t>
            </w:r>
          </w:p>
        </w:tc>
        <w:tc>
          <w:tcPr>
            <w:tcW w:w="100" w:type="dxa"/>
            <w:vAlign w:val="bottom"/>
          </w:tcPr>
          <w:p>
            <w:pPr>
              <w:spacing w:after="0"/>
              <w:rPr>
                <w:sz w:val="15"/>
                <w:szCs w:val="15"/>
                <w:color w:val="auto"/>
              </w:rPr>
            </w:pPr>
          </w:p>
        </w:tc>
        <w:tc>
          <w:tcPr>
            <w:tcW w:w="2380" w:type="dxa"/>
            <w:vAlign w:val="bottom"/>
            <w:tcBorders>
              <w:bottom w:val="single" w:sz="8" w:color="auto"/>
            </w:tcBorders>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the Plans or Programs</w:t>
            </w:r>
          </w:p>
        </w:tc>
        <w:tc>
          <w:tcPr>
            <w:tcW w:w="0" w:type="dxa"/>
            <w:vAlign w:val="bottom"/>
          </w:tcPr>
          <w:p>
            <w:pPr>
              <w:spacing w:after="0"/>
              <w:rPr>
                <w:sz w:val="1"/>
                <w:szCs w:val="1"/>
                <w:color w:val="auto"/>
              </w:rPr>
            </w:pPr>
          </w:p>
        </w:tc>
      </w:tr>
      <w:tr>
        <w:trPr>
          <w:trHeight w:val="210"/>
        </w:trPr>
        <w:tc>
          <w:tcPr>
            <w:tcW w:w="3740" w:type="dxa"/>
            <w:vAlign w:val="bottom"/>
            <w:shd w:val="clear" w:color="auto" w:fill="CFF0FC"/>
          </w:tcPr>
          <w:p>
            <w:pPr>
              <w:spacing w:after="0" w:line="210" w:lineRule="exact"/>
              <w:rPr>
                <w:sz w:val="20"/>
                <w:szCs w:val="20"/>
                <w:color w:val="auto"/>
              </w:rPr>
            </w:pPr>
            <w:r>
              <w:rPr>
                <w:rFonts w:ascii="Times New Roman" w:cs="Times New Roman" w:eastAsia="Times New Roman" w:hAnsi="Times New Roman"/>
                <w:sz w:val="18"/>
                <w:szCs w:val="18"/>
                <w:color w:val="auto"/>
              </w:rPr>
              <w:t>January 1 to January 31, 2026</w:t>
            </w:r>
            <w:r>
              <w:rPr>
                <w:rFonts w:ascii="Times New Roman" w:cs="Times New Roman" w:eastAsia="Times New Roman" w:hAnsi="Times New Roman"/>
                <w:sz w:val="24"/>
                <w:szCs w:val="24"/>
                <w:color w:val="auto"/>
                <w:vertAlign w:val="superscript"/>
              </w:rPr>
              <w:t>(1)(2)</w:t>
            </w:r>
          </w:p>
        </w:tc>
        <w:tc>
          <w:tcPr>
            <w:tcW w:w="1040" w:type="dxa"/>
            <w:vAlign w:val="bottom"/>
            <w:shd w:val="clear" w:color="auto" w:fill="CFF0FC"/>
          </w:tcPr>
          <w:p>
            <w:pPr>
              <w:jc w:val="right"/>
              <w:ind w:right="58"/>
              <w:spacing w:after="0"/>
              <w:rPr>
                <w:sz w:val="20"/>
                <w:szCs w:val="20"/>
                <w:color w:val="auto"/>
              </w:rPr>
            </w:pPr>
            <w:r>
              <w:rPr>
                <w:rFonts w:ascii="Times New Roman" w:cs="Times New Roman" w:eastAsia="Times New Roman" w:hAnsi="Times New Roman"/>
                <w:sz w:val="18"/>
                <w:szCs w:val="18"/>
                <w:color w:val="auto"/>
              </w:rPr>
              <w:t>67,224</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2.73</w:t>
            </w:r>
          </w:p>
        </w:tc>
        <w:tc>
          <w:tcPr>
            <w:tcW w:w="140" w:type="dxa"/>
            <w:vAlign w:val="bottom"/>
            <w:shd w:val="clear" w:color="auto" w:fill="CFF0FC"/>
          </w:tcPr>
          <w:p>
            <w:pPr>
              <w:spacing w:after="0"/>
              <w:rPr>
                <w:sz w:val="18"/>
                <w:szCs w:val="18"/>
                <w:color w:val="auto"/>
              </w:rPr>
            </w:pPr>
          </w:p>
        </w:tc>
        <w:tc>
          <w:tcPr>
            <w:tcW w:w="2800" w:type="dxa"/>
            <w:vAlign w:val="bottom"/>
            <w:shd w:val="clear" w:color="auto" w:fill="CFF0FC"/>
          </w:tcPr>
          <w:p>
            <w:pPr>
              <w:ind w:left="25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2380" w:type="dxa"/>
            <w:vAlign w:val="bottom"/>
            <w:shd w:val="clear" w:color="auto" w:fill="CFF0FC"/>
          </w:tcPr>
          <w:p>
            <w:pPr>
              <w:ind w:left="20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February 1 to February 28, 2026</w:t>
            </w:r>
          </w:p>
        </w:tc>
        <w:tc>
          <w:tcPr>
            <w:tcW w:w="1040" w:type="dxa"/>
            <w:vAlign w:val="bottom"/>
          </w:tcPr>
          <w:p>
            <w:pPr>
              <w:jc w:val="right"/>
              <w:ind w:right="58"/>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800" w:type="dxa"/>
            <w:vAlign w:val="bottom"/>
          </w:tcPr>
          <w:p>
            <w:pPr>
              <w:ind w:left="25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38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40" w:type="dxa"/>
            <w:vAlign w:val="bottom"/>
            <w:tcBorders>
              <w:bottom w:val="single" w:sz="8" w:color="CFF0FC"/>
            </w:tcBorders>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March 1 to March 31, 2026</w:t>
            </w:r>
            <w:r>
              <w:rPr>
                <w:rFonts w:ascii="Times New Roman" w:cs="Times New Roman" w:eastAsia="Times New Roman" w:hAnsi="Times New Roman"/>
                <w:sz w:val="24"/>
                <w:szCs w:val="24"/>
                <w:color w:val="auto"/>
                <w:vertAlign w:val="superscript"/>
              </w:rPr>
              <w:t>(1)(2)</w:t>
            </w:r>
          </w:p>
        </w:tc>
        <w:tc>
          <w:tcPr>
            <w:tcW w:w="1040" w:type="dxa"/>
            <w:vAlign w:val="bottom"/>
            <w:tcBorders>
              <w:bottom w:val="single" w:sz="8" w:color="auto"/>
            </w:tcBorders>
            <w:shd w:val="clear" w:color="auto" w:fill="CFF0FC"/>
          </w:tcPr>
          <w:p>
            <w:pPr>
              <w:jc w:val="right"/>
              <w:ind w:right="58"/>
              <w:spacing w:after="0"/>
              <w:rPr>
                <w:sz w:val="20"/>
                <w:szCs w:val="20"/>
                <w:color w:val="auto"/>
              </w:rPr>
            </w:pPr>
            <w:r>
              <w:rPr>
                <w:rFonts w:ascii="Times New Roman" w:cs="Times New Roman" w:eastAsia="Times New Roman" w:hAnsi="Times New Roman"/>
                <w:sz w:val="18"/>
                <w:szCs w:val="18"/>
                <w:color w:val="auto"/>
              </w:rPr>
              <w:t>15,389</w:t>
            </w:r>
          </w:p>
        </w:tc>
        <w:tc>
          <w:tcPr>
            <w:tcW w:w="1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1.52</w:t>
            </w:r>
          </w:p>
        </w:tc>
        <w:tc>
          <w:tcPr>
            <w:tcW w:w="140" w:type="dxa"/>
            <w:vAlign w:val="bottom"/>
            <w:tcBorders>
              <w:bottom w:val="single" w:sz="8" w:color="CFF0FC"/>
            </w:tcBorders>
            <w:shd w:val="clear" w:color="auto" w:fill="CFF0FC"/>
          </w:tcPr>
          <w:p>
            <w:pPr>
              <w:spacing w:after="0"/>
              <w:rPr>
                <w:sz w:val="18"/>
                <w:szCs w:val="18"/>
                <w:color w:val="auto"/>
              </w:rPr>
            </w:pPr>
          </w:p>
        </w:tc>
        <w:tc>
          <w:tcPr>
            <w:tcW w:w="2800" w:type="dxa"/>
            <w:vAlign w:val="bottom"/>
            <w:tcBorders>
              <w:bottom w:val="single" w:sz="8" w:color="auto"/>
            </w:tcBorders>
            <w:shd w:val="clear" w:color="auto" w:fill="CFF0FC"/>
          </w:tcPr>
          <w:p>
            <w:pPr>
              <w:ind w:left="25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2380" w:type="dxa"/>
            <w:vAlign w:val="bottom"/>
            <w:tcBorders>
              <w:bottom w:val="single" w:sz="8" w:color="auto"/>
            </w:tcBorders>
            <w:shd w:val="clear" w:color="auto" w:fill="CFF0FC"/>
          </w:tcPr>
          <w:p>
            <w:pPr>
              <w:ind w:left="20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Totals</w:t>
            </w:r>
          </w:p>
        </w:tc>
        <w:tc>
          <w:tcPr>
            <w:tcW w:w="1040" w:type="dxa"/>
            <w:vAlign w:val="bottom"/>
          </w:tcPr>
          <w:p>
            <w:pPr>
              <w:jc w:val="right"/>
              <w:ind w:right="58"/>
              <w:spacing w:after="0"/>
              <w:rPr>
                <w:sz w:val="20"/>
                <w:szCs w:val="20"/>
                <w:color w:val="auto"/>
              </w:rPr>
            </w:pPr>
            <w:r>
              <w:rPr>
                <w:rFonts w:ascii="Times New Roman" w:cs="Times New Roman" w:eastAsia="Times New Roman" w:hAnsi="Times New Roman"/>
                <w:sz w:val="18"/>
                <w:szCs w:val="18"/>
                <w:color w:val="auto"/>
              </w:rPr>
              <w:t>82,613</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2.51</w:t>
            </w:r>
          </w:p>
        </w:tc>
        <w:tc>
          <w:tcPr>
            <w:tcW w:w="140" w:type="dxa"/>
            <w:vAlign w:val="bottom"/>
          </w:tcPr>
          <w:p>
            <w:pPr>
              <w:spacing w:after="0"/>
              <w:rPr>
                <w:sz w:val="18"/>
                <w:szCs w:val="18"/>
                <w:color w:val="auto"/>
              </w:rPr>
            </w:pPr>
          </w:p>
        </w:tc>
        <w:tc>
          <w:tcPr>
            <w:tcW w:w="2800" w:type="dxa"/>
            <w:vAlign w:val="bottom"/>
          </w:tcPr>
          <w:p>
            <w:pPr>
              <w:ind w:left="25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38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3030855</wp:posOffset>
            </wp:positionH>
            <wp:positionV relativeFrom="paragraph">
              <wp:posOffset>-170815</wp:posOffset>
            </wp:positionV>
            <wp:extent cx="7683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-170815</wp:posOffset>
            </wp:positionV>
            <wp:extent cx="8572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-170815</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5" w:lineRule="exact"/>
        <w:rPr>
          <w:sz w:val="20"/>
          <w:szCs w:val="20"/>
          <w:color w:val="auto"/>
        </w:rPr>
      </w:pPr>
    </w:p>
    <w:p>
      <w:pPr>
        <w:ind w:left="520" w:right="200" w:hanging="512"/>
        <w:spacing w:after="0" w:line="233" w:lineRule="auto"/>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restricted shares withheld pursuant to the terms of awards under the Company’s share-based compensation plans to offset tax withholding obligations that occur upon vesting and release of restricted shares.</w:t>
      </w:r>
    </w:p>
    <w:p>
      <w:pPr>
        <w:ind w:left="520" w:hanging="512"/>
        <w:spacing w:after="0"/>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value of the restricted shares withheld is the closing price of the Company's common stock on the date the relevant transaction occurs.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7"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8"/>
        </w:trPr>
        <w:tc>
          <w:tcPr>
            <w:tcW w:w="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20" w:type="dxa"/>
            <w:vAlign w:val="bottom"/>
          </w:tcPr>
          <w:p>
            <w:pPr>
              <w:spacing w:after="0"/>
              <w:rPr>
                <w:sz w:val="20"/>
                <w:szCs w:val="20"/>
                <w:color w:val="auto"/>
              </w:rPr>
            </w:pPr>
          </w:p>
        </w:tc>
        <w:tc>
          <w:tcPr>
            <w:tcW w:w="1020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92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14"/>
                <w:szCs w:val="14"/>
                <w:color w:val="auto"/>
              </w:rPr>
            </w:pPr>
          </w:p>
        </w:tc>
        <w:tc>
          <w:tcPr>
            <w:tcW w:w="9960" w:type="dxa"/>
            <w:vAlign w:val="bottom"/>
            <w:tcBorders>
              <w:top w:val="single" w:sz="8" w:color="auto"/>
              <w:bottom w:val="single" w:sz="8" w:color="0000FF"/>
            </w:tcBorders>
            <w:gridSpan w:val="6"/>
          </w:tcPr>
          <w:p>
            <w:pPr>
              <w:spacing w:after="0" w:line="169" w:lineRule="exact"/>
              <w:rPr>
                <w:rFonts w:ascii="Times New Roman" w:cs="Times New Roman" w:eastAsia="Times New Roman" w:hAnsi="Times New Roman"/>
                <w:sz w:val="18"/>
                <w:szCs w:val="18"/>
                <w:color w:val="0000FF"/>
              </w:rPr>
            </w:pPr>
            <w:hyperlink r:id="rId110">
              <w:r>
                <w:rPr>
                  <w:rFonts w:ascii="Times New Roman" w:cs="Times New Roman" w:eastAsia="Times New Roman" w:hAnsi="Times New Roman"/>
                  <w:sz w:val="18"/>
                  <w:szCs w:val="18"/>
                  <w:color w:val="0000FF"/>
                </w:rPr>
                <w:t>Non-Employee Director Compensation Program (incorporated by reference to Exhibit 10.16 to the Company’s Form 10-K, as filed by the</w:t>
              </w:r>
            </w:hyperlink>
          </w:p>
        </w:tc>
        <w:tc>
          <w:tcPr>
            <w:tcW w:w="240" w:type="dxa"/>
            <w:vAlign w:val="bottom"/>
            <w:tcBorders>
              <w:top w:val="single" w:sz="8" w:color="auto"/>
            </w:tcBorders>
            <w:gridSpan w:val="2"/>
          </w:tcPr>
          <w:p>
            <w:pPr>
              <w:spacing w:after="0"/>
              <w:rPr>
                <w:sz w:val="14"/>
                <w:szCs w:val="14"/>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gridSpan w:val="8"/>
          </w:tcPr>
          <w:p>
            <w:pPr>
              <w:spacing w:after="0" w:line="196" w:lineRule="exact"/>
              <w:rPr>
                <w:rFonts w:ascii="Times New Roman" w:cs="Times New Roman" w:eastAsia="Times New Roman" w:hAnsi="Times New Roman"/>
                <w:sz w:val="18"/>
                <w:szCs w:val="18"/>
                <w:color w:val="0000FF"/>
              </w:rPr>
            </w:pPr>
            <w:hyperlink r:id="rId110">
              <w:r>
                <w:rPr>
                  <w:rFonts w:ascii="Times New Roman" w:cs="Times New Roman" w:eastAsia="Times New Roman" w:hAnsi="Times New Roman"/>
                  <w:sz w:val="18"/>
                  <w:szCs w:val="18"/>
                  <w:color w:val="0000FF"/>
                </w:rPr>
                <w:t>Company with the SEC on February 27, 2026).</w:t>
              </w:r>
            </w:hyperlink>
          </w:p>
        </w:tc>
      </w:tr>
      <w:tr>
        <w:trPr>
          <w:trHeight w:val="20"/>
        </w:trPr>
        <w:tc>
          <w:tcPr>
            <w:tcW w:w="9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2500" w:type="dxa"/>
            <w:vAlign w:val="bottom"/>
            <w:tcBorders>
              <w:right w:val="single" w:sz="8" w:color="0000EE"/>
            </w:tcBorders>
            <w:shd w:val="clear" w:color="auto" w:fill="0000FF"/>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17"/>
                <w:szCs w:val="17"/>
                <w:color w:val="auto"/>
              </w:rPr>
            </w:pPr>
          </w:p>
        </w:tc>
        <w:tc>
          <w:tcPr>
            <w:tcW w:w="1020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Consulting Services Agreement, dated as of April 9, 2026, between Treace Medical Concepts, Inc. and Gaetano M. Guglielmino</w:t>
            </w:r>
            <w:r>
              <w:rPr>
                <w:rFonts w:ascii="Times New Roman" w:cs="Times New Roman" w:eastAsia="Times New Roman" w:hAnsi="Times New Roman"/>
                <w:sz w:val="18"/>
                <w:szCs w:val="18"/>
                <w:color w:val="000000"/>
              </w:rPr>
              <w:t>.*</w:t>
            </w:r>
          </w:p>
        </w:tc>
      </w:tr>
      <w:tr>
        <w:trPr>
          <w:trHeight w:val="20"/>
        </w:trPr>
        <w:tc>
          <w:tcPr>
            <w:tcW w:w="9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4060" w:type="dxa"/>
            <w:vAlign w:val="bottom"/>
            <w:gridSpan w:val="2"/>
            <w:shd w:val="clear" w:color="auto" w:fill="0000FF"/>
          </w:tcPr>
          <w:p>
            <w:pPr>
              <w:spacing w:after="0" w:line="20" w:lineRule="exact"/>
              <w:rPr>
                <w:sz w:val="1"/>
                <w:szCs w:val="1"/>
                <w:color w:val="auto"/>
              </w:rPr>
            </w:pPr>
          </w:p>
        </w:tc>
        <w:tc>
          <w:tcPr>
            <w:tcW w:w="4300" w:type="dxa"/>
            <w:vAlign w:val="bottom"/>
            <w:tcBorders>
              <w:right w:val="single" w:sz="8" w:color="0000EE"/>
            </w:tcBorders>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17"/>
                <w:szCs w:val="17"/>
                <w:color w:val="auto"/>
              </w:rPr>
            </w:pPr>
          </w:p>
        </w:tc>
        <w:tc>
          <w:tcPr>
            <w:tcW w:w="1020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Executive Officer Pursuant to Rules 13a-14(a) and 15d-14(a) under the Securities Exchange Act of 1934, as</w:t>
            </w: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4060" w:type="dxa"/>
            <w:vAlign w:val="bottom"/>
            <w:gridSpan w:val="2"/>
            <w:shd w:val="clear" w:color="auto" w:fill="0000FF"/>
          </w:tcPr>
          <w:p>
            <w:pPr>
              <w:spacing w:after="0" w:line="20" w:lineRule="exact"/>
              <w:rPr>
                <w:sz w:val="1"/>
                <w:szCs w:val="1"/>
                <w:color w:val="auto"/>
              </w:rPr>
            </w:pPr>
          </w:p>
        </w:tc>
        <w:tc>
          <w:tcPr>
            <w:tcW w:w="4640" w:type="dxa"/>
            <w:vAlign w:val="bottom"/>
            <w:gridSpan w:val="2"/>
            <w:shd w:val="clear" w:color="auto" w:fill="0000FF"/>
          </w:tcPr>
          <w:p>
            <w:pPr>
              <w:spacing w:after="0" w:line="20" w:lineRule="exact"/>
              <w:rPr>
                <w:sz w:val="1"/>
                <w:szCs w:val="1"/>
                <w:color w:val="auto"/>
              </w:rPr>
            </w:pPr>
          </w:p>
        </w:tc>
        <w:tc>
          <w:tcPr>
            <w:tcW w:w="420" w:type="dxa"/>
            <w:vAlign w:val="bottom"/>
            <w:tcBorders>
              <w:left w:val="single" w:sz="8" w:color="0000FF"/>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Adopted Pursuant to Section 302 of the Sarbanes-Oxley Act of 2002.</w:t>
            </w:r>
          </w:p>
        </w:tc>
      </w:tr>
      <w:tr>
        <w:trPr>
          <w:trHeight w:val="20"/>
        </w:trPr>
        <w:tc>
          <w:tcPr>
            <w:tcW w:w="9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4060" w:type="dxa"/>
            <w:vAlign w:val="bottom"/>
            <w:gridSpan w:val="2"/>
            <w:shd w:val="clear" w:color="auto" w:fill="0000FF"/>
          </w:tcPr>
          <w:p>
            <w:pPr>
              <w:spacing w:after="0" w:line="20" w:lineRule="exact"/>
              <w:rPr>
                <w:sz w:val="1"/>
                <w:szCs w:val="1"/>
                <w:color w:val="auto"/>
              </w:rPr>
            </w:pPr>
          </w:p>
        </w:tc>
        <w:tc>
          <w:tcPr>
            <w:tcW w:w="464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17"/>
                <w:szCs w:val="17"/>
                <w:color w:val="auto"/>
              </w:rPr>
            </w:pPr>
          </w:p>
        </w:tc>
        <w:tc>
          <w:tcPr>
            <w:tcW w:w="1020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Financial Officer Pursuant to Rules 13a-14(a) and 15d-14(a) under the Securities Exchange Act of 1934, as</w:t>
            </w: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8700" w:type="dxa"/>
            <w:vAlign w:val="bottom"/>
            <w:gridSpan w:val="4"/>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Adopted Pursuant to Section 302 of the Sarbanes-Oxley Act of 2002.</w:t>
            </w:r>
          </w:p>
        </w:tc>
      </w:tr>
      <w:tr>
        <w:trPr>
          <w:trHeight w:val="20"/>
        </w:trPr>
        <w:tc>
          <w:tcPr>
            <w:tcW w:w="9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4060" w:type="dxa"/>
            <w:vAlign w:val="bottom"/>
            <w:gridSpan w:val="2"/>
            <w:shd w:val="clear" w:color="auto" w:fill="0000FF"/>
          </w:tcPr>
          <w:p>
            <w:pPr>
              <w:spacing w:after="0" w:line="20" w:lineRule="exact"/>
              <w:rPr>
                <w:sz w:val="1"/>
                <w:szCs w:val="1"/>
                <w:color w:val="auto"/>
              </w:rPr>
            </w:pPr>
          </w:p>
        </w:tc>
        <w:tc>
          <w:tcPr>
            <w:tcW w:w="506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32.1</w:t>
            </w: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20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Executive Officer Pursuant to 18 U.S.C. Section 1350, as Adopted Pursuant to Section 906 of the Sarbanes-Oxley</w:t>
            </w: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9120" w:type="dxa"/>
            <w:vAlign w:val="bottom"/>
            <w:gridSpan w:val="6"/>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Act of 2002.</w:t>
            </w:r>
          </w:p>
        </w:tc>
      </w:tr>
      <w:tr>
        <w:trPr>
          <w:trHeight w:val="20"/>
        </w:trPr>
        <w:tc>
          <w:tcPr>
            <w:tcW w:w="9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EE"/>
            </w:tcBorders>
            <w:shd w:val="clear" w:color="auto" w:fill="0000FF"/>
          </w:tcPr>
          <w:p>
            <w:pPr>
              <w:spacing w:after="0" w:line="20" w:lineRule="exact"/>
              <w:rPr>
                <w:sz w:val="1"/>
                <w:szCs w:val="1"/>
                <w:color w:val="auto"/>
              </w:rPr>
            </w:pPr>
          </w:p>
        </w:tc>
        <w:tc>
          <w:tcPr>
            <w:tcW w:w="9120" w:type="dxa"/>
            <w:vAlign w:val="bottom"/>
            <w:gridSpan w:val="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32.2</w:t>
            </w: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20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Financial Officer Pursuant to 18 U.S.C. Section 1350, as Adopted Pursuant to Section 906 of the Sarbanes-Oxley</w:t>
            </w: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20" w:type="dxa"/>
            <w:vAlign w:val="bottom"/>
            <w:gridSpan w:val="7"/>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Act of 2002.</w:t>
            </w:r>
          </w:p>
        </w:tc>
      </w:tr>
      <w:tr>
        <w:trPr>
          <w:trHeight w:val="20"/>
        </w:trPr>
        <w:tc>
          <w:tcPr>
            <w:tcW w:w="9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EE"/>
            </w:tcBorders>
            <w:shd w:val="clear" w:color="auto" w:fill="0000FF"/>
          </w:tcPr>
          <w:p>
            <w:pPr>
              <w:spacing w:after="0" w:line="20" w:lineRule="exact"/>
              <w:rPr>
                <w:sz w:val="1"/>
                <w:szCs w:val="1"/>
                <w:color w:val="auto"/>
              </w:rPr>
            </w:pPr>
          </w:p>
        </w:tc>
        <w:tc>
          <w:tcPr>
            <w:tcW w:w="9300" w:type="dxa"/>
            <w:vAlign w:val="bottom"/>
            <w:gridSpan w:val="7"/>
          </w:tcPr>
          <w:p>
            <w:pPr>
              <w:spacing w:after="0" w:line="20" w:lineRule="exact"/>
              <w:rPr>
                <w:sz w:val="1"/>
                <w:szCs w:val="1"/>
                <w:color w:val="auto"/>
              </w:rPr>
            </w:pPr>
          </w:p>
        </w:tc>
      </w:tr>
      <w:tr>
        <w:trPr>
          <w:trHeight w:val="218"/>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20" w:type="dxa"/>
            <w:vAlign w:val="bottom"/>
          </w:tcPr>
          <w:p>
            <w:pPr>
              <w:spacing w:after="0"/>
              <w:rPr>
                <w:sz w:val="18"/>
                <w:szCs w:val="18"/>
                <w:color w:val="auto"/>
              </w:rPr>
            </w:pPr>
          </w:p>
        </w:tc>
        <w:tc>
          <w:tcPr>
            <w:tcW w:w="102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XBRL tags are embedded</w:t>
            </w: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20" w:type="dxa"/>
            <w:vAlign w:val="bottom"/>
          </w:tcPr>
          <w:p>
            <w:pPr>
              <w:spacing w:after="0"/>
              <w:rPr>
                <w:sz w:val="18"/>
                <w:szCs w:val="18"/>
                <w:color w:val="auto"/>
              </w:rPr>
            </w:pPr>
          </w:p>
        </w:tc>
        <w:tc>
          <w:tcPr>
            <w:tcW w:w="102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Documents</w:t>
            </w:r>
          </w:p>
        </w:tc>
      </w:tr>
      <w:tr>
        <w:trPr>
          <w:trHeight w:val="23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0"/>
                <w:szCs w:val="20"/>
                <w:color w:val="auto"/>
              </w:rPr>
            </w:pPr>
          </w:p>
        </w:tc>
        <w:tc>
          <w:tcPr>
            <w:tcW w:w="102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190309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spacing w:after="0" w:line="110" w:lineRule="exact"/>
        <w:rPr>
          <w:sz w:val="20"/>
          <w:szCs w:val="20"/>
          <w:color w:val="auto"/>
        </w:rPr>
      </w:pPr>
    </w:p>
    <w:p>
      <w:pPr>
        <w:ind w:left="460" w:hanging="452"/>
        <w:spacing w:after="0"/>
        <w:tabs>
          <w:tab w:leader="none" w:pos="4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management contract or compensatory plan.</w:t>
      </w:r>
    </w:p>
    <w:p>
      <w:pPr>
        <w:ind w:left="460" w:hanging="452"/>
        <w:spacing w:after="0" w:line="185" w:lineRule="auto"/>
        <w:tabs>
          <w:tab w:leader="none" w:pos="460" w:val="left"/>
        </w:tabs>
        <w:numPr>
          <w:ilvl w:val="0"/>
          <w:numId w:val="12"/>
        </w:numPr>
        <w:rPr>
          <w:rFonts w:ascii="Times New Roman" w:cs="Times New Roman" w:eastAsia="Times New Roman" w:hAnsi="Times New Roman"/>
          <w:sz w:val="32"/>
          <w:szCs w:val="32"/>
          <w:color w:val="auto"/>
          <w:vertAlign w:val="superscript"/>
        </w:rPr>
      </w:pPr>
      <w:r>
        <w:rPr>
          <w:rFonts w:ascii="Times New Roman" w:cs="Times New Roman" w:eastAsia="Times New Roman" w:hAnsi="Times New Roman"/>
          <w:sz w:val="16"/>
          <w:szCs w:val="16"/>
          <w:color w:val="auto"/>
        </w:rPr>
        <w:t>Portions of this exhibit have been omitted in accordance with Item 601(b)(10) of Regulation S-K.</w:t>
      </w:r>
    </w:p>
    <w:p>
      <w:pPr>
        <w:spacing w:after="0" w:line="40" w:lineRule="exact"/>
        <w:rPr>
          <w:sz w:val="20"/>
          <w:szCs w:val="20"/>
          <w:color w:val="auto"/>
        </w:rPr>
      </w:pPr>
    </w:p>
    <w:p>
      <w:pPr>
        <w:ind w:left="460" w:right="40" w:hanging="452"/>
        <w:spacing w:after="0" w:line="253" w:lineRule="auto"/>
        <w:tabs>
          <w:tab w:leader="none" w:pos="460" w:val="left"/>
        </w:tabs>
        <w:numPr>
          <w:ilvl w:val="0"/>
          <w:numId w:val="13"/>
        </w:numPr>
        <w:rPr>
          <w:rFonts w:ascii="Arial" w:cs="Arial" w:eastAsia="Arial" w:hAnsi="Arial"/>
          <w:sz w:val="18"/>
          <w:szCs w:val="18"/>
          <w:color w:val="auto"/>
        </w:rPr>
      </w:pPr>
      <w:r>
        <w:rPr>
          <w:rFonts w:ascii="Times New Roman" w:cs="Times New Roman" w:eastAsia="Times New Roman" w:hAnsi="Times New Roman"/>
          <w:sz w:val="18"/>
          <w:szCs w:val="18"/>
          <w:color w:val="auto"/>
        </w:rPr>
        <w:t>The certifications attached as Exhibit 32.1 and 32.2 to this Quarterly Report are deemed furnished and not filed with the U.S. Securities and Exchange Commission and are not to be incorporated by reference into any filing of Treace Medical Concepts, Inc. under the Securities Act of 1933, as amended, or the Securities Exchange Act of 1934, as amended, whether made before or after the date of this Quarterly Report, irrespective of any general incorporation language contained in such filing.</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1" w:name="page32"/>
    <w:bookmarkEnd w:id="31"/>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b w:val="1"/>
          <w:bCs w:val="1"/>
          <w:color w:val="auto"/>
        </w:rPr>
        <w:t>Treace Medical Concepts, Inc.</w:t>
      </w:r>
    </w:p>
    <w:p>
      <w:pPr>
        <w:spacing w:after="0" w:line="283" w:lineRule="exact"/>
        <w:rPr>
          <w:sz w:val="20"/>
          <w:szCs w:val="20"/>
          <w:color w:val="auto"/>
        </w:rPr>
      </w:pPr>
    </w:p>
    <w:p>
      <w:pPr>
        <w:spacing w:after="0"/>
        <w:tabs>
          <w:tab w:leader="none" w:pos="6040" w:val="left"/>
          <w:tab w:leader="none" w:pos="6640" w:val="left"/>
        </w:tabs>
        <w:rPr>
          <w:sz w:val="20"/>
          <w:szCs w:val="20"/>
          <w:color w:val="auto"/>
        </w:rPr>
      </w:pPr>
      <w:r>
        <w:rPr>
          <w:rFonts w:ascii="Times New Roman" w:cs="Times New Roman" w:eastAsia="Times New Roman" w:hAnsi="Times New Roman"/>
          <w:sz w:val="18"/>
          <w:szCs w:val="18"/>
          <w:color w:val="auto"/>
        </w:rPr>
        <w:t>Date: May 8,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John T. Treace</w:t>
      </w:r>
    </w:p>
    <w:p>
      <w:pPr>
        <w:spacing w:after="0" w:line="27" w:lineRule="exact"/>
        <w:rPr>
          <w:sz w:val="20"/>
          <w:szCs w:val="20"/>
          <w:color w:val="auto"/>
        </w:rPr>
      </w:pPr>
    </w:p>
    <w:tbl>
      <w:tblPr>
        <w:tblLayout w:type="fixed"/>
        <w:tblInd w:w="6640" w:type="dxa"/>
        <w:tblCellMar>
          <w:top w:w="0" w:type="dxa"/>
          <w:left w:w="0" w:type="dxa"/>
          <w:bottom w:w="0" w:type="dxa"/>
          <w:right w:w="0" w:type="dxa"/>
        </w:tblCellMar>
      </w:tblPr>
      <w:tr>
        <w:trPr>
          <w:trHeight w:val="232"/>
        </w:trPr>
        <w:tc>
          <w:tcPr>
            <w:tcW w:w="6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390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John T. Treace</w:t>
            </w:r>
          </w:p>
        </w:tc>
      </w:tr>
      <w:tr>
        <w:trPr>
          <w:trHeight w:val="216"/>
        </w:trPr>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3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Chief Executive Officer (Principal Executive</w:t>
            </w:r>
          </w:p>
        </w:tc>
      </w:tr>
      <w:tr>
        <w:trPr>
          <w:trHeight w:val="234"/>
        </w:trPr>
        <w:tc>
          <w:tcPr>
            <w:tcW w:w="600" w:type="dxa"/>
            <w:vAlign w:val="bottom"/>
          </w:tcPr>
          <w:p>
            <w:pPr>
              <w:spacing w:after="0"/>
              <w:rPr>
                <w:sz w:val="20"/>
                <w:szCs w:val="20"/>
                <w:color w:val="auto"/>
              </w:rPr>
            </w:pPr>
          </w:p>
        </w:tc>
        <w:tc>
          <w:tcPr>
            <w:tcW w:w="3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Officer)</w:t>
            </w:r>
          </w:p>
        </w:tc>
      </w:tr>
    </w:tbl>
    <w:p>
      <w:pPr>
        <w:spacing w:after="0" w:line="200" w:lineRule="exact"/>
        <w:rPr>
          <w:sz w:val="20"/>
          <w:szCs w:val="20"/>
          <w:color w:val="auto"/>
        </w:rPr>
      </w:pPr>
    </w:p>
    <w:p>
      <w:pPr>
        <w:spacing w:after="0" w:line="268" w:lineRule="exact"/>
        <w:rPr>
          <w:sz w:val="20"/>
          <w:szCs w:val="20"/>
          <w:color w:val="auto"/>
        </w:rPr>
      </w:pPr>
    </w:p>
    <w:p>
      <w:pPr>
        <w:spacing w:after="0"/>
        <w:tabs>
          <w:tab w:leader="none" w:pos="6040" w:val="left"/>
          <w:tab w:leader="none" w:pos="6640" w:val="left"/>
        </w:tabs>
        <w:rPr>
          <w:sz w:val="20"/>
          <w:szCs w:val="20"/>
          <w:color w:val="auto"/>
        </w:rPr>
      </w:pPr>
      <w:r>
        <w:rPr>
          <w:rFonts w:ascii="Times New Roman" w:cs="Times New Roman" w:eastAsia="Times New Roman" w:hAnsi="Times New Roman"/>
          <w:sz w:val="18"/>
          <w:szCs w:val="18"/>
          <w:color w:val="auto"/>
        </w:rPr>
        <w:t>Date: May 8,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Mark L. Hair</w:t>
      </w:r>
    </w:p>
    <w:p>
      <w:pPr>
        <w:spacing w:after="0" w:line="27" w:lineRule="exact"/>
        <w:rPr>
          <w:sz w:val="20"/>
          <w:szCs w:val="20"/>
          <w:color w:val="auto"/>
        </w:rPr>
      </w:pPr>
    </w:p>
    <w:tbl>
      <w:tblPr>
        <w:tblLayout w:type="fixed"/>
        <w:tblInd w:w="6640" w:type="dxa"/>
        <w:tblCellMar>
          <w:top w:w="0" w:type="dxa"/>
          <w:left w:w="0" w:type="dxa"/>
          <w:bottom w:w="0" w:type="dxa"/>
          <w:right w:w="0" w:type="dxa"/>
        </w:tblCellMar>
      </w:tblPr>
      <w:tr>
        <w:trPr>
          <w:trHeight w:val="232"/>
        </w:trPr>
        <w:tc>
          <w:tcPr>
            <w:tcW w:w="6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390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Mark L. Hair</w:t>
            </w:r>
          </w:p>
        </w:tc>
      </w:tr>
      <w:tr>
        <w:trPr>
          <w:trHeight w:val="216"/>
        </w:trPr>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3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Chief Financial Officer (Principal Financial</w:t>
            </w:r>
          </w:p>
        </w:tc>
      </w:tr>
      <w:tr>
        <w:trPr>
          <w:trHeight w:val="234"/>
        </w:trPr>
        <w:tc>
          <w:tcPr>
            <w:tcW w:w="600" w:type="dxa"/>
            <w:vAlign w:val="bottom"/>
          </w:tcPr>
          <w:p>
            <w:pPr>
              <w:spacing w:after="0"/>
              <w:rPr>
                <w:sz w:val="20"/>
                <w:szCs w:val="20"/>
                <w:color w:val="auto"/>
              </w:rPr>
            </w:pPr>
          </w:p>
        </w:tc>
        <w:tc>
          <w:tcPr>
            <w:tcW w:w="3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Officer)</w:t>
            </w:r>
          </w:p>
        </w:tc>
      </w:tr>
    </w:tbl>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2" w:name="page33"/>
    <w:bookmarkEnd w:id="32"/>
    <w:p>
      <w:pPr>
        <w:ind w:left="10260"/>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16" w:lineRule="exact"/>
        <w:rPr>
          <w:sz w:val="20"/>
          <w:szCs w:val="20"/>
          <w:color w:val="auto"/>
        </w:rPr>
      </w:pPr>
    </w:p>
    <w:p>
      <w:pPr>
        <w:jc w:val="center"/>
        <w:ind w:right="40"/>
        <w:spacing w:after="0" w:line="262" w:lineRule="auto"/>
        <w:rPr>
          <w:sz w:val="20"/>
          <w:szCs w:val="20"/>
          <w:color w:val="auto"/>
        </w:rPr>
      </w:pPr>
      <w:r>
        <w:rPr>
          <w:rFonts w:ascii="Times New Roman" w:cs="Times New Roman" w:eastAsia="Times New Roman" w:hAnsi="Times New Roman"/>
          <w:sz w:val="22"/>
          <w:szCs w:val="22"/>
          <w:b w:val="1"/>
          <w:bCs w:val="1"/>
          <w:color w:val="C00000"/>
        </w:rPr>
        <w:t>Certain information contained in this document has been omitted because it is (i) not material and (ii) the type that the registrant treats as private or confidential. Omitted portions are marked with “[***]” in this exhibit.</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Consulting Services Agreement</w:t>
      </w:r>
    </w:p>
    <w:p>
      <w:pPr>
        <w:spacing w:after="0" w:line="236"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This Consulting Services Agreement (“Agreement”) is entered into effective as of this 9</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of April, 2026 (“Effective Date”), by and between </w:t>
      </w:r>
      <w:r>
        <w:rPr>
          <w:rFonts w:ascii="Times New Roman" w:cs="Times New Roman" w:eastAsia="Times New Roman" w:hAnsi="Times New Roman"/>
          <w:sz w:val="18"/>
          <w:szCs w:val="18"/>
          <w:b w:val="1"/>
          <w:bCs w:val="1"/>
          <w:color w:val="auto"/>
        </w:rPr>
        <w:t>Treace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Medical Concepts, Inc.</w:t>
      </w:r>
      <w:r>
        <w:rPr>
          <w:rFonts w:ascii="Times New Roman" w:cs="Times New Roman" w:eastAsia="Times New Roman" w:hAnsi="Times New Roman"/>
          <w:sz w:val="18"/>
          <w:szCs w:val="18"/>
          <w:color w:val="auto"/>
        </w:rPr>
        <w:t>, a Delaware corporation with a business address at 100 Palmetto Park Place, Ponte Vedra, FL 32081 (“TMC”), and</w:t>
      </w:r>
      <w:r>
        <w:rPr>
          <w:rFonts w:ascii="Times New Roman" w:cs="Times New Roman" w:eastAsia="Times New Roman" w:hAnsi="Times New Roman"/>
          <w:sz w:val="18"/>
          <w:szCs w:val="18"/>
          <w:b w:val="1"/>
          <w:bCs w:val="1"/>
          <w:color w:val="auto"/>
        </w:rPr>
        <w:t xml:space="preserve"> Gaetano M. Guglielmino, </w:t>
      </w:r>
      <w:r>
        <w:rPr>
          <w:rFonts w:ascii="Times New Roman" w:cs="Times New Roman" w:eastAsia="Times New Roman" w:hAnsi="Times New Roman"/>
          <w:sz w:val="18"/>
          <w:szCs w:val="18"/>
          <w:color w:val="auto"/>
        </w:rPr>
        <w:t>with an address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(“Consultant” or “Guglielmino”). TMC and Consultant may be referred to herein individually as a “Party”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collectively as the “Parties.”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WHEREAS, Guglielmino was employed by TMC from December 1, 2024 through April 8, 2026 (the “Separation Date”).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WHEREAS, Guglielmino’s employment has now terminated and Guglielmino wishes to transition to serving as an independent contractor.</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WHEREAS, Guglielmino, acting as an independent contractor for all purposes, will provide Services (as defined below) for TMC to assist the commercial and executive leadership with relationships, reporting and projects upon request as further described below.</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NOW THEREFORE, in consideration of the promises and mutual covenants and agreements contained herein, the Parties agree as follows:</w:t>
      </w:r>
    </w:p>
    <w:p>
      <w:pPr>
        <w:spacing w:after="0" w:line="221" w:lineRule="exact"/>
        <w:rPr>
          <w:sz w:val="20"/>
          <w:szCs w:val="20"/>
          <w:color w:val="auto"/>
        </w:rPr>
      </w:pPr>
    </w:p>
    <w:p>
      <w:pPr>
        <w:jc w:val="both"/>
        <w:ind w:firstLine="8"/>
        <w:spacing w:after="0" w:line="259" w:lineRule="auto"/>
        <w:tabs>
          <w:tab w:leader="none" w:pos="36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Services to be Performed. </w:t>
      </w:r>
      <w:r>
        <w:rPr>
          <w:rFonts w:ascii="Times New Roman" w:cs="Times New Roman" w:eastAsia="Times New Roman" w:hAnsi="Times New Roman"/>
          <w:sz w:val="18"/>
          <w:szCs w:val="18"/>
          <w:color w:val="auto"/>
        </w:rPr>
        <w:t>TMC hereby engages Consultant to perform, and Consultant agrees to perform, the following services (the “Services”)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Commercial Department at the request and under the direction of John T. Treace (the “CEO”). Specifically, the Services that Consultant will provide will include, but are not limited to, the following: [***]. Consultant will directly perform the Services and will not subcontract or otherwise delegate his obligations under this Agreement. Consultant will perform the Services to the best of his ability, in a timely, professional, and workmanlike manner, and in accordance with industry standards and TMC’s reasonable instructions.</w:t>
      </w:r>
    </w:p>
    <w:p>
      <w:pPr>
        <w:spacing w:after="0" w:line="179" w:lineRule="exact"/>
        <w:rPr>
          <w:rFonts w:ascii="Times New Roman" w:cs="Times New Roman" w:eastAsia="Times New Roman" w:hAnsi="Times New Roman"/>
          <w:sz w:val="18"/>
          <w:szCs w:val="18"/>
          <w:b w:val="1"/>
          <w:bCs w:val="1"/>
          <w:color w:val="auto"/>
        </w:rPr>
      </w:pPr>
    </w:p>
    <w:p>
      <w:pPr>
        <w:ind w:firstLine="8"/>
        <w:spacing w:after="0" w:line="286" w:lineRule="auto"/>
        <w:tabs>
          <w:tab w:leader="none" w:pos="36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Term. </w:t>
      </w:r>
      <w:r>
        <w:rPr>
          <w:rFonts w:ascii="Times New Roman" w:cs="Times New Roman" w:eastAsia="Times New Roman" w:hAnsi="Times New Roman"/>
          <w:sz w:val="18"/>
          <w:szCs w:val="18"/>
          <w:color w:val="auto"/>
        </w:rPr>
        <w:t>The term of this Agreement will commence on the Effective Date and will terminate on January 31, 2027 unless terminated earlier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accordance with Section 5 below.</w:t>
      </w:r>
    </w:p>
    <w:p>
      <w:pPr>
        <w:spacing w:after="0" w:line="154" w:lineRule="exact"/>
        <w:rPr>
          <w:rFonts w:ascii="Times New Roman" w:cs="Times New Roman" w:eastAsia="Times New Roman" w:hAnsi="Times New Roman"/>
          <w:sz w:val="18"/>
          <w:szCs w:val="18"/>
          <w:b w:val="1"/>
          <w:bCs w:val="1"/>
          <w:color w:val="auto"/>
        </w:rPr>
      </w:pPr>
    </w:p>
    <w:p>
      <w:pPr>
        <w:jc w:val="both"/>
        <w:ind w:firstLine="8"/>
        <w:spacing w:after="0" w:line="254" w:lineRule="auto"/>
        <w:tabs>
          <w:tab w:leader="none" w:pos="36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Independent Contractor Relationship</w:t>
      </w:r>
      <w:r>
        <w:rPr>
          <w:rFonts w:ascii="Times New Roman" w:cs="Times New Roman" w:eastAsia="Times New Roman" w:hAnsi="Times New Roman"/>
          <w:sz w:val="18"/>
          <w:szCs w:val="18"/>
          <w:color w:val="auto"/>
        </w:rPr>
        <w:t>. As of the Effective Date, Consultant’s relationship with TMC will be that of an independent contractor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nothing in this Agreement should be construed to create a partnership, joint venture, or employer-employee relationship. Consultant will be solely responsible for all tax returns and payments required to be filed with or made to any federal, state or local tax authority with respect to Consultant’s performance of Services and receipt of fees under this Agreement. Because Consultant is an independent contractor, TMC will not withhold or make payments for social security; make unemployment insurance or disability insurance contributions; or obtain worker’s compensation insurance on Consultant’s behalf; or undertake any other responsibility inconsistent with the independent contractor relationship. Consultant hereby agrees to indemnify and defend TMC against (a) all such taxes or contributions, including penalties and interest incurred by TMC as a result of Consultant's failure to file or pay any such taxes or payments, (b) all claims related to the status of Consultant or any of its representatives as an independent contractor, and (c) any amounts due and/or alleged to be due to Consultant’s representatives.</w:t>
      </w:r>
    </w:p>
    <w:p>
      <w:pPr>
        <w:spacing w:after="0" w:line="188" w:lineRule="exact"/>
        <w:rPr>
          <w:rFonts w:ascii="Times New Roman" w:cs="Times New Roman" w:eastAsia="Times New Roman" w:hAnsi="Times New Roman"/>
          <w:sz w:val="18"/>
          <w:szCs w:val="18"/>
          <w:b w:val="1"/>
          <w:bCs w:val="1"/>
          <w:color w:val="auto"/>
        </w:rPr>
      </w:pPr>
    </w:p>
    <w:p>
      <w:pPr>
        <w:jc w:val="both"/>
        <w:ind w:firstLine="8"/>
        <w:spacing w:after="0" w:line="259" w:lineRule="auto"/>
        <w:tabs>
          <w:tab w:leader="none" w:pos="427"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Compensation; Terms of Payment</w:t>
      </w:r>
      <w:r>
        <w:rPr>
          <w:rFonts w:ascii="Times New Roman" w:cs="Times New Roman" w:eastAsia="Times New Roman" w:hAnsi="Times New Roman"/>
          <w:sz w:val="18"/>
          <w:szCs w:val="18"/>
          <w:color w:val="auto"/>
        </w:rPr>
        <w:t>. Subject to Consultant’s compliance with (1) the Confidentiality, Non-Competition, Non-Solicitation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Inventions Agreement signed on November 6, 2024 (the “Restrictive Covenants Agreement”) and (2) this Agreement, during the term of the Agreement, TMC will, as full compensation for the Services, pay (a) Consultant a fee of Thirty Six Thousand Six Hundred Sixty Six Dollars and Sixty-Seven Cents ($36,666.67) per month for the performance of the Services, which will be paid on a monthly basis beginning no later than thirty (30) days following the Effective Date provided that the release in Exhibit A has not been revoked, (b)</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3" w:name="page34"/>
    <w:bookmarkEnd w:id="33"/>
    <w:p>
      <w:pPr>
        <w:jc w:val="both"/>
        <w:spacing w:after="0" w:line="252" w:lineRule="auto"/>
        <w:rPr>
          <w:sz w:val="20"/>
          <w:szCs w:val="20"/>
          <w:color w:val="auto"/>
        </w:rPr>
      </w:pPr>
      <w:r>
        <w:rPr>
          <w:rFonts w:ascii="Times New Roman" w:cs="Times New Roman" w:eastAsia="Times New Roman" w:hAnsi="Times New Roman"/>
          <w:sz w:val="18"/>
          <w:szCs w:val="18"/>
          <w:color w:val="auto"/>
        </w:rPr>
        <w:t>Consultant monthly an amount equal to the total COBRA premium of $1,911.04 per month for COBRA continuation coverage under the Company’s health benefit plan (i.e., medical, dental and vision coverage), adjusted for any increase or decrease of the relevant COBRA premium due under the plan, and (c) Consultant, at the time that other employees of the Company receive their cash bonuses under the 2026 Corporate Bonus Plan, but in no event later than March 15, 2027, a lump sum cash amount of $58,465.75 (which is Guglielmino’s $220,000 annual target bonus opportunity pro-rated for 97 days of service as an employee in 2026). In addition, (a) Consultant’s outstanding equity awards will remain outstanding and continue to vest during the term of this Agreement in accordance with the existing terms and conditions of the equity awards and (b) if a Change of Control (as defined in the 2021 Incentive Award Plan) occurs during the term of this Agreement, each outstanding and unvested equity grant (excluding any such awards that vest in whole or in part based on the attainment of performance-vesting conditions) held by Consultant will become 100% vested. For the avoidance of doubt, the termination of Guglielmino’s employment and his transition to serving as an independent contractor will not constitute a Termination of Service (as defined in the 2021 Incentive Award Plan) for purposes of the outstanding equity awards and the 2021 Incentive Award Plan. In exchange, Consultant will provide TMC with up to forty (40) hours per month of his time. TMC will not be responsible for travel and other out-of-pocket expenses incurred by Consultant or its representatives hereunder unless approved by the Company in writing in advance of such expenses being incurred. All expenses must be supported by receipts or itemized statements of such expenses. Consultant will submit monthly invoices showing Services performed and any expenses incurred (with supporting documentation) to the Accounts Payable Department by email at ###, and TMC will pay the undisputed amounts of such invoices within 15 days after receipt.</w:t>
      </w:r>
    </w:p>
    <w:p>
      <w:pPr>
        <w:spacing w:after="0" w:line="192" w:lineRule="exact"/>
        <w:rPr>
          <w:sz w:val="20"/>
          <w:szCs w:val="20"/>
          <w:color w:val="auto"/>
        </w:rPr>
      </w:pPr>
    </w:p>
    <w:p>
      <w:pPr>
        <w:jc w:val="both"/>
        <w:ind w:firstLine="8"/>
        <w:spacing w:after="0" w:line="253" w:lineRule="auto"/>
        <w:tabs>
          <w:tab w:leader="none" w:pos="3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Termination of this Agreement</w:t>
      </w:r>
      <w:r>
        <w:rPr>
          <w:rFonts w:ascii="Times New Roman" w:cs="Times New Roman" w:eastAsia="Times New Roman" w:hAnsi="Times New Roman"/>
          <w:sz w:val="18"/>
          <w:szCs w:val="18"/>
          <w:color w:val="auto"/>
        </w:rPr>
        <w:t>. This Agreement may be terminated by TMC if Consultant is in material breach of this Agreement or the Restrictive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Covenants Agreement and Consultant fails to cure such breach within ten (10) days of being provided notice thereof. Consultant may terminate this Agreement at any time for any reason by giving at least thirty (30) days’ prior written notice to TMC (the “Notice Period”). Notice will be deemed to have been sufficiently given under this Agreement either when served personally, emailed or when sent by overnight courier or first-class mail addressed to the Parties at the addresses set forth in the first paragraph of this Agreement (or such other addresses as the Parties notify each other in writing). Upon termination of this Agreement (either upon expiration of the Term or if terminated earlier in accordance with this Section 5), Consultant will fully cooperate with TMC in order to enable TMC to properly transition the Services provided by Consultant hereunder to itself or any other third party chosen by TMC. After such transition, TMC will not be liable for payment of any further compensation, nor will Consultant be liable to perform, any further Services. Upon termination of this Agreement, Consultant will (1) return to TMC any badges, passwords, access codes, files, laptop, computer or any other tangible products or documents which have been produced or received by or otherwise provided to Consultant during Consultant's engagement by TMC,</w:t>
      </w:r>
    </w:p>
    <w:p>
      <w:pPr>
        <w:jc w:val="both"/>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provide TMC with all work in progress and other deliverables as developed as of the date of termination and (3) continue to comply with any obligations that survive termination hereof, including but not limited to Sections 3 (Independent Contractor Relationship)</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5 (Termination of Agreement), 6 (Confidentiality), 7 (Works of Authorship; Assignment), 8 (Responsibility and Insurance), 11 (Choice of Law and Dispute Resolution), 12 (Release and Restrictive Covenant Agreement), 13 (Entire Agreement; Other Continuing Agreements), 15 (Miscellaneous), 16 (Non-Disparagement and Employment Reference) and 17 (Communications with Government Agencies; Defend Trade Secrets Act Notice).</w:t>
      </w:r>
    </w:p>
    <w:p>
      <w:pPr>
        <w:spacing w:after="0" w:line="182" w:lineRule="exact"/>
        <w:rPr>
          <w:rFonts w:ascii="Times New Roman" w:cs="Times New Roman" w:eastAsia="Times New Roman" w:hAnsi="Times New Roman"/>
          <w:sz w:val="18"/>
          <w:szCs w:val="18"/>
          <w:color w:val="auto"/>
        </w:rPr>
      </w:pPr>
    </w:p>
    <w:p>
      <w:pPr>
        <w:jc w:val="both"/>
        <w:ind w:firstLine="8"/>
        <w:spacing w:after="0" w:line="257" w:lineRule="auto"/>
        <w:tabs>
          <w:tab w:leader="none" w:pos="387"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Confidential Matters and Proprietary Information</w:t>
      </w:r>
      <w:r>
        <w:rPr>
          <w:rFonts w:ascii="Times New Roman" w:cs="Times New Roman" w:eastAsia="Times New Roman" w:hAnsi="Times New Roman"/>
          <w:sz w:val="18"/>
          <w:szCs w:val="18"/>
          <w:color w:val="auto"/>
        </w:rPr>
        <w:t>. Consultant will hold in the strictest confidence and will never, without TMC’s prior written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authorization, disclose, publish, transfer, communicate, furnish or make accessible to anyone, or use any Confidential Information (as defined in the Restrictive Covenants Agreement), for Consultant’s own or another's benefit, or permit the Confidential Information to be used in competition with TMC or its affiliates, or used in any way other than for the benefit of TMC and in the ordinary course of its business. TMC will retain all right, title, and interest in and to its Confidential Information and neither this Agreement nor any disclosure of any such Confidential Information will implicate or grant Consultant any license, interest in, or other property rights in any Confidential Information.</w:t>
      </w:r>
    </w:p>
    <w:p>
      <w:pPr>
        <w:spacing w:after="0" w:line="18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Consultant will, immediately following discovery, notify TMC if Confidential Information was, or is reasonably believed to have been, accessed, disclosed, used, altered, lost, or otherwise processed except in accordance with this Agreement.</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termination of Consultant’s Services to TMC, or at the request of TMC before termination, Consultant will return, or securely destroy at TMC’s option, all material in Consultant’s possession, custody or control relating to TMC’s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color w:val="auto"/>
        </w:rPr>
        <w:t>business, including any Confidential Information , including all copies, provided that Consultant may retain copies as required by law.</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Consultant will not disclose any information concerning any legal matters in which the Company is involved, except as required by a lawfully issued subpoena and as consistent with applicable legal ethics rules. In the event that, on the advice of legal counsel, Consultant is compelled by law to disclose Confidential Information, Consultant must notify TMC in advance of such disclosure, specifically about the need for and the exact text of any such disclosure. Consultant will take every reasonable action to ensure protection of the disclosed Confidential Information to the extent allowable by law.</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Consistent with this Agreement and the Restrictive Covenants Agreement, Consultant agrees that he will not answer questions from, provide feedback to, have conversations with or disclose any information about the Company or his experience with the Company (whether positive, negative or neutral) to any member of the press or media, any marketing, investment, financial or industry research firm, any online forum, and other third party except (a) with the Company’s prior written consent or (b) as permitted in Section 16.</w:t>
      </w:r>
    </w:p>
    <w:p>
      <w:pPr>
        <w:spacing w:after="0" w:line="176" w:lineRule="exact"/>
        <w:rPr>
          <w:sz w:val="20"/>
          <w:szCs w:val="20"/>
          <w:color w:val="auto"/>
        </w:rPr>
      </w:pPr>
    </w:p>
    <w:p>
      <w:pPr>
        <w:jc w:val="both"/>
        <w:ind w:firstLine="8"/>
        <w:spacing w:after="0" w:line="257" w:lineRule="auto"/>
        <w:tabs>
          <w:tab w:leader="none" w:pos="36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Works of Authorship; Assignment</w:t>
      </w:r>
      <w:r>
        <w:rPr>
          <w:rFonts w:ascii="Times New Roman" w:cs="Times New Roman" w:eastAsia="Times New Roman" w:hAnsi="Times New Roman"/>
          <w:sz w:val="18"/>
          <w:szCs w:val="18"/>
          <w:color w:val="auto"/>
        </w:rPr>
        <w:t>. Any works of authorship created, adapted, or developed by or for Consultant in connection with performing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Services, whether or not copyrightable, are deemed as works made for hire. Consultant hereby assigns to TMC any intellectual property (including, without limitation, inventions, proprietary information, data, software, works of authorship, improvements, or suggestions): (a) whether or not patentable or copyrightable, conceived, created, adapted, or developed by or for Consultant, whether made alone or in conjunction with others, in connection with Consultant’s performance of Services under this Agreement; or (b) derived from TMC’s Confidential Information . Consultant will promptly render any assistance TMC may request to transfer and document the intellectual property rights assigned to TMC under this Section 7.</w:t>
      </w:r>
    </w:p>
    <w:p>
      <w:pPr>
        <w:spacing w:after="0" w:line="141" w:lineRule="exact"/>
        <w:rPr>
          <w:rFonts w:ascii="Times New Roman" w:cs="Times New Roman" w:eastAsia="Times New Roman" w:hAnsi="Times New Roman"/>
          <w:sz w:val="18"/>
          <w:szCs w:val="18"/>
          <w:b w:val="1"/>
          <w:bCs w:val="1"/>
          <w:color w:val="auto"/>
        </w:rPr>
      </w:pPr>
    </w:p>
    <w:p>
      <w:pPr>
        <w:ind w:left="360" w:hanging="352"/>
        <w:spacing w:after="0"/>
        <w:tabs>
          <w:tab w:leader="none" w:pos="36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Responsibility</w:t>
      </w:r>
      <w:r>
        <w:rPr>
          <w:rFonts w:ascii="Times New Roman" w:cs="Times New Roman" w:eastAsia="Times New Roman" w:hAnsi="Times New Roman"/>
          <w:sz w:val="18"/>
          <w:szCs w:val="18"/>
          <w:color w:val="auto"/>
        </w:rPr>
        <w:t>. Consultant will be responsible for his own acts or omissions while performing Services under this Agreement.</w:t>
      </w:r>
    </w:p>
    <w:p>
      <w:pPr>
        <w:spacing w:after="0" w:line="198" w:lineRule="exact"/>
        <w:rPr>
          <w:rFonts w:ascii="Times New Roman" w:cs="Times New Roman" w:eastAsia="Times New Roman" w:hAnsi="Times New Roman"/>
          <w:sz w:val="18"/>
          <w:szCs w:val="18"/>
          <w:b w:val="1"/>
          <w:bCs w:val="1"/>
          <w:color w:val="auto"/>
        </w:rPr>
      </w:pPr>
    </w:p>
    <w:p>
      <w:pPr>
        <w:jc w:val="both"/>
        <w:ind w:firstLine="8"/>
        <w:spacing w:after="0" w:line="257" w:lineRule="auto"/>
        <w:tabs>
          <w:tab w:leader="none" w:pos="36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 Conflicts</w:t>
      </w:r>
      <w:r>
        <w:rPr>
          <w:rFonts w:ascii="Times New Roman" w:cs="Times New Roman" w:eastAsia="Times New Roman" w:hAnsi="Times New Roman"/>
          <w:sz w:val="18"/>
          <w:szCs w:val="18"/>
          <w:color w:val="auto"/>
        </w:rPr>
        <w:t>. Consultant represents and warrants to TMC that he has not entered into any agreement that conflicts with the terms of this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that he will not do so during the term of this Agreement. Consultant further represents and warrants that Consultant is not included in or listed: (a) on the List of Excluded Individuals/Entities maintained by the HHS Office of Inspector General pursuant to 42 U.S.C. Sections 1320a-7, 13955ccc, 1320c-5 and regulations promulgated there under, which, as of the Effective Date, can be searched at the internet website of http://oig.hhs.gov/fraud/exclusions.html, or (b) on the Excluded Parties List System maintained by the United States General Services Administration which, as of the Effective Date, can be searched at the internet website of https://sam.gov/content/exclusions.</w:t>
      </w:r>
    </w:p>
    <w:p>
      <w:pPr>
        <w:spacing w:after="0" w:line="141" w:lineRule="exact"/>
        <w:rPr>
          <w:rFonts w:ascii="Times New Roman" w:cs="Times New Roman" w:eastAsia="Times New Roman" w:hAnsi="Times New Roman"/>
          <w:sz w:val="18"/>
          <w:szCs w:val="18"/>
          <w:b w:val="1"/>
          <w:bCs w:val="1"/>
          <w:color w:val="auto"/>
        </w:rPr>
      </w:pPr>
    </w:p>
    <w:p>
      <w:pPr>
        <w:jc w:val="both"/>
        <w:ind w:firstLine="8"/>
        <w:spacing w:after="0" w:line="254" w:lineRule="auto"/>
        <w:tabs>
          <w:tab w:leader="none" w:pos="36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Apartment Lease</w:t>
      </w:r>
      <w:r>
        <w:rPr>
          <w:rFonts w:ascii="Times New Roman" w:cs="Times New Roman" w:eastAsia="Times New Roman" w:hAnsi="Times New Roman"/>
          <w:sz w:val="18"/>
          <w:szCs w:val="18"/>
          <w:color w:val="auto"/>
        </w:rPr>
        <w:t>. Consultant represents and warrants to TMC that he has entered into an apartment lease commencing on February 27, 2026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ending on February 28, 2028 for apartment ### located at </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 xml:space="preserve"> with monthly rent of $1811.00. TMC will pay the monthly rent directly to either the landlord or Consultant. This obligation will continue until the earlier of (1) the expiration or termination of this Agreement, (2) the assignment of the lease to TMC, or (3) the expiration of the lease. Consultant will use reasonable efforts to assist TMC to obtain the landlord’s consent to assign the lease to TMC and will promptly vacate the apartment by April 30, 2026, and thereafter, TMC will have the right to access and use the apartment as accommodations for its own personnel and visitors. Consultant will transfer ownership and possession of the furniture and household items described in Exhibit C currently located in the apartment to TMC in “as is” condition on TMC’s payment of $2,000. Consultant will leave such items in the apartment. To the extent any payment by TMC relating to the monthly rent is taxable to Consultant, TMC shall pay Consultant a grossed-up amount to cover any income taxes.</w:t>
      </w:r>
    </w:p>
    <w:p>
      <w:pPr>
        <w:spacing w:after="0" w:line="141" w:lineRule="exact"/>
        <w:rPr>
          <w:rFonts w:ascii="Times New Roman" w:cs="Times New Roman" w:eastAsia="Times New Roman" w:hAnsi="Times New Roman"/>
          <w:sz w:val="18"/>
          <w:szCs w:val="18"/>
          <w:b w:val="1"/>
          <w:bCs w:val="1"/>
          <w:color w:val="auto"/>
        </w:rPr>
      </w:pPr>
    </w:p>
    <w:p>
      <w:pPr>
        <w:jc w:val="both"/>
        <w:ind w:firstLine="8"/>
        <w:spacing w:after="0" w:line="259" w:lineRule="auto"/>
        <w:tabs>
          <w:tab w:leader="none" w:pos="36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Choice of Law and Dispute Resolution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lawsuit, action or proceeding arising out of or relating to this Agreement will be decided in accordance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the laws of the State of Florida, without giving effect to principles of conflicts of laws. Each of the Parties consents to submit itself to the personal jurisdiction of any state or federal court sitting in Duval County in the State of Florida in any action or proceeding arising out of or relating to this Agreement. The Parties will in good faith endeavor to resolve any disputes or differences of interpretation of this Agreement amicably, through dialog and cooperation.</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5" w:name="page36"/>
    <w:bookmarkEnd w:id="35"/>
    <w:p>
      <w:pPr>
        <w:ind w:left="380" w:hanging="372"/>
        <w:spacing w:after="0"/>
        <w:tabs>
          <w:tab w:leader="none" w:pos="38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Release and Restrictive Covenant Agreement</w:t>
      </w:r>
      <w:r>
        <w:rPr>
          <w:rFonts w:ascii="Times New Roman" w:cs="Times New Roman" w:eastAsia="Times New Roman" w:hAnsi="Times New Roman"/>
          <w:sz w:val="18"/>
          <w:szCs w:val="18"/>
          <w:color w:val="auto"/>
        </w:rPr>
        <w:t>. Consultant will be eligible to receive the payments and other benefits under this Agreement only if</w:t>
      </w:r>
    </w:p>
    <w:p>
      <w:pPr>
        <w:spacing w:after="0" w:line="31" w:lineRule="exact"/>
        <w:rPr>
          <w:rFonts w:ascii="Times New Roman" w:cs="Times New Roman" w:eastAsia="Times New Roman" w:hAnsi="Times New Roman"/>
          <w:sz w:val="18"/>
          <w:szCs w:val="18"/>
          <w:b w:val="1"/>
          <w:bCs w:val="1"/>
          <w:color w:val="auto"/>
        </w:rPr>
      </w:pPr>
    </w:p>
    <w:p>
      <w:pPr>
        <w:jc w:val="both"/>
        <w:spacing w:after="0" w:line="25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Consultant first executes the Release in favor of the Company and others attached hereto as Exhibit A and the Release has not been revoked by Consultant and (b) Consultant provides the Company the written attestation attached hereto as Exhibit B that the Restrictive Covenants Agreement is in effect and enforceable. If Consultant does not execute and return the Release and attestation such that either or both agreements do not become effective (or, in the case of the Release, is revoked), Consultant will not be entitled to any payments or benefits under this Agreement. If Consultant is found in a judgment no longer subject to review or appeal to have breached the obligations set forth in the Restrictive Covenants Agreement, then Consultant will immediately forfeit any amounts payable or benefits to be received and will promptly reimburse the Company any amounts actually paid to Consultant pursuant to this Agreement.</w:t>
      </w:r>
    </w:p>
    <w:p>
      <w:pPr>
        <w:spacing w:after="0" w:line="143" w:lineRule="exact"/>
        <w:rPr>
          <w:rFonts w:ascii="Times New Roman" w:cs="Times New Roman" w:eastAsia="Times New Roman" w:hAnsi="Times New Roman"/>
          <w:sz w:val="18"/>
          <w:szCs w:val="18"/>
          <w:b w:val="1"/>
          <w:bCs w:val="1"/>
          <w:color w:val="auto"/>
        </w:rPr>
      </w:pPr>
    </w:p>
    <w:p>
      <w:pPr>
        <w:jc w:val="both"/>
        <w:ind w:firstLine="8"/>
        <w:spacing w:after="0" w:line="254" w:lineRule="auto"/>
        <w:tabs>
          <w:tab w:leader="none" w:pos="40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Entire Agreement; Other Continuing Agreements</w:t>
      </w:r>
      <w:r>
        <w:rPr>
          <w:rFonts w:ascii="Times New Roman" w:cs="Times New Roman" w:eastAsia="Times New Roman" w:hAnsi="Times New Roman"/>
          <w:sz w:val="18"/>
          <w:szCs w:val="18"/>
          <w:color w:val="auto"/>
        </w:rPr>
        <w:t>. This Agreement supersedes all prior oral or written agreements, if any, between the Parties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related to Consultant’s engagement as an independent contractor and constitutes the entire agreement between the Parties related to the subject matter hereof. The Parties acknowledge and agree that (a) the Change in Control Severance Agreement dated December 4, 2024 between the Company and Mr. Guglielmino (the “Severance Agreement”) is no longer in effect, and (b) this Agreement will not affect, and the Parties will continue to be subject to and bound by the Restrictive Covenants Agreement, the Indemnification Agreement dated December 4, 2024, and any restricted stock unit and performance stock unit award agreements. For the avoidance of doubt, except as expressly stated herein, the award agreements for restricted stock units and performance stock units granted to Guglielmino are not being modified in connection with this Agreement and will continue in accordance with their terms, including without limitation the terms of the 2021 Incentive Award Plan. This Agreement may be supplemented, amended, or revised only in writing by agreement of the Parties.</w:t>
      </w:r>
    </w:p>
    <w:p>
      <w:pPr>
        <w:spacing w:after="0" w:line="161" w:lineRule="exact"/>
        <w:rPr>
          <w:rFonts w:ascii="Times New Roman" w:cs="Times New Roman" w:eastAsia="Times New Roman" w:hAnsi="Times New Roman"/>
          <w:sz w:val="18"/>
          <w:szCs w:val="18"/>
          <w:b w:val="1"/>
          <w:bCs w:val="1"/>
          <w:color w:val="auto"/>
        </w:rPr>
      </w:pPr>
    </w:p>
    <w:p>
      <w:pPr>
        <w:jc w:val="both"/>
        <w:ind w:firstLine="8"/>
        <w:spacing w:after="0" w:line="257" w:lineRule="auto"/>
        <w:tabs>
          <w:tab w:leader="none" w:pos="36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 Duplication of Benefits</w:t>
      </w:r>
      <w:r>
        <w:rPr>
          <w:rFonts w:ascii="Times New Roman" w:cs="Times New Roman" w:eastAsia="Times New Roman" w:hAnsi="Times New Roman"/>
          <w:sz w:val="18"/>
          <w:szCs w:val="18"/>
          <w:color w:val="auto"/>
        </w:rPr>
        <w:t>. The compensation to be paid to Consultant hereunder will be in lieu of any other severance or termination compensation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(compensation based directly on Consultant’s annual salary or annual salary and bonus) to which Consultant may be entitled under any other Company severance or termination agreement, plan, program, policy, practice or arrangement (collectively, “Severance Plans”). Consultant affirmatively waives any rights he may have to payments or benefits provided under the Severance Plans. Consultant’s entitlement to any compensation or benefits of a type not provided in this Agreement will be determined in accordance with the Company’s employee benefit plans and other applicable programs, policies and practices as in effect from time to time.</w:t>
      </w:r>
    </w:p>
    <w:p>
      <w:pPr>
        <w:spacing w:after="0" w:line="14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color w:val="auto"/>
        </w:rPr>
        <w:t>15</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Miscellaneous</w:t>
      </w:r>
      <w:r>
        <w:rPr>
          <w:rFonts w:ascii="Times New Roman" w:cs="Times New Roman" w:eastAsia="Times New Roman" w:hAnsi="Times New Roman"/>
          <w:sz w:val="18"/>
          <w:szCs w:val="18"/>
          <w:color w:val="auto"/>
        </w:rPr>
        <w:t>. If a court makes a final judicial determination that any provision of this Agreement is an unenforceable, such provision will not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rendered void but will be deemed amended to apply to such extent as such court may judicially determine or indicate to be reasonable. In addition, any provision of this Agreement found by a court to be prohibited or unenforceable in any jurisdiction will, as to such jurisdiction, be ineffective to the extent of such prohibition or unenforceability (but will be construed and given effect to the extent possible), without invalidating the remaining provisions hereof or affecting the validity or enforceability of such provision in any other jurisdiction. Consultant will not assign his rights or obligations under this Agreement absent express prior written approval from TMC. The failure by either Party to enforce, or the written waiver of, any term or condition of this Agreement will not be deemed a waiver of further enforcement of that or any other term or condition. The Company may withhold from any payments due to Consultant hereunder such amounts as are required to be withheld under applicable federal, state and local tax laws. This Agreement will inure to the benefit of and be binding upon the Parties and any successors and permitted assigns. All notices and other communications given or made pursuant to this Agreement will be in writing and will be deemed effectively given: (a) upon personal delivery to the party to be notified, (b) when sent by confirmed electronic mail or facsimile if sent during normal business hours of the recipient, and if not so confirmed, then on the next business day, (c) five (5) days after having been sent by registered or certified mail, return receipt requested, postage prepaid, or (d) one day after deposit with a nationally recognized overnight courier, specifying next-day delivery, with written verification of receipt. All notices will be sent to the address in the first paragraph unless a Party notifies the other Party of a change in its address.</w:t>
      </w:r>
    </w:p>
    <w:p>
      <w:pPr>
        <w:spacing w:after="0" w:line="145" w:lineRule="exact"/>
        <w:rPr>
          <w:sz w:val="20"/>
          <w:szCs w:val="20"/>
          <w:color w:val="auto"/>
        </w:rPr>
      </w:pPr>
    </w:p>
    <w:p>
      <w:pPr>
        <w:jc w:val="both"/>
        <w:ind w:firstLine="8"/>
        <w:spacing w:after="0" w:line="262" w:lineRule="auto"/>
        <w:tabs>
          <w:tab w:leader="none" w:pos="36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Non-Disparagement and Employment Reference</w:t>
      </w:r>
      <w:r>
        <w:rPr>
          <w:rFonts w:ascii="Times New Roman" w:cs="Times New Roman" w:eastAsia="Times New Roman" w:hAnsi="Times New Roman"/>
          <w:sz w:val="18"/>
          <w:szCs w:val="18"/>
          <w:color w:val="auto"/>
        </w:rPr>
        <w:t>. Consultant agrees not to disparage or discuss TMC or any of its services, products, agents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employees in a derogatory manner, whether in writing, verbally, or on any online forum (subject to the exceptions in Section 17). TMC agrees to instruct the following employees not to disparage Consultant: John T. Treace, Mark L. Hair, Scot Elder and Dan Owens. Upon request directed to TMC’s HR Manager, with respect to the period of Consultant’s employment, TMC agrees to provide a neutral employment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6" w:name="page37"/>
    <w:bookmarkEnd w:id="36"/>
    <w:p>
      <w:pPr>
        <w:spacing w:after="0" w:line="282" w:lineRule="auto"/>
        <w:rPr>
          <w:sz w:val="20"/>
          <w:szCs w:val="20"/>
          <w:color w:val="auto"/>
        </w:rPr>
      </w:pPr>
      <w:r>
        <w:rPr>
          <w:rFonts w:ascii="Times New Roman" w:cs="Times New Roman" w:eastAsia="Times New Roman" w:hAnsi="Times New Roman"/>
          <w:sz w:val="18"/>
          <w:szCs w:val="18"/>
          <w:color w:val="auto"/>
        </w:rPr>
        <w:t>reference to Consultant, prospective employers, or other authorized third parties. In response to such request, the neutral reference will contain only Consultant’s dates of employment, title/position(s) held with the Company, and the dates of Consultant’s provision of Services hereunder.</w:t>
      </w:r>
    </w:p>
    <w:p>
      <w:pPr>
        <w:spacing w:after="0" w:line="158" w:lineRule="exact"/>
        <w:rPr>
          <w:sz w:val="20"/>
          <w:szCs w:val="20"/>
          <w:color w:val="auto"/>
        </w:rPr>
      </w:pPr>
    </w:p>
    <w:p>
      <w:pPr>
        <w:jc w:val="both"/>
        <w:ind w:firstLine="8"/>
        <w:spacing w:after="0" w:line="253" w:lineRule="auto"/>
        <w:tabs>
          <w:tab w:leader="none" w:pos="40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Communications with Government Agencies; Defend Trade Secrets Act Notice</w:t>
      </w:r>
      <w:r>
        <w:rPr>
          <w:rFonts w:ascii="Times New Roman" w:cs="Times New Roman" w:eastAsia="Times New Roman" w:hAnsi="Times New Roman"/>
          <w:sz w:val="18"/>
          <w:szCs w:val="18"/>
          <w:color w:val="auto"/>
        </w:rPr>
        <w:t>. Notwithstanding anything to the contrary contained herein,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nothing in this Agreement or the Restrictive Covenants Agreement prohibits Consultant from reporting possible violations of federal law or regulation to any United States governmental agency or entity in accordance with the provisions of and rules promulgated under Section 21F of the Securities Exchange Act of 1934 or Section 806 of the Sarbanes-Oxley Act of 2002, or any other whistleblower protection provisions of state or federal law or regulation (including the right to receive an award for information provided to any such government agencies). Furthermore, in accordance with 18 U.S.C. § 1833, notwithstanding anything to the contrary in this Agreement: (a) Consultant will not be in breach of this Agreement, and will not be held criminally or civilly liable under any federal or state trade secret law (1) for the disclosure of a trade secret that is made in confidence to a federal, state, or local government official or to an attorney solely for the purpose of reporting or investigating a suspected violation of law, or (2) for the disclosure of a trade secret that is made in a complaint or other document filed in a lawsuit or other proceeding, if such filing is made under seal; and (b) if Consultant files a lawsuit for retaliation by the Company for reporting a suspected violation of law, Consultant may disclose the trade secret to Consultant’s attorney, and may use the trade secret information in the court proceeding, if Consultant files any document containing the trade secret under seal, and does not disclose the trade secret, except pursuant to court order.</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Parties have executed this Agreement through duly authorized representatives.</w:t>
      </w:r>
    </w:p>
    <w:p>
      <w:pPr>
        <w:spacing w:after="0" w:line="275" w:lineRule="exact"/>
        <w:rPr>
          <w:sz w:val="20"/>
          <w:szCs w:val="20"/>
          <w:color w:val="auto"/>
        </w:rPr>
      </w:pPr>
    </w:p>
    <w:p>
      <w:pPr>
        <w:ind w:left="120"/>
        <w:spacing w:after="0"/>
        <w:tabs>
          <w:tab w:leader="none" w:pos="5520" w:val="left"/>
        </w:tabs>
        <w:rPr>
          <w:sz w:val="20"/>
          <w:szCs w:val="20"/>
          <w:color w:val="auto"/>
        </w:rPr>
      </w:pPr>
      <w:r>
        <w:rPr>
          <w:rFonts w:ascii="Times New Roman" w:cs="Times New Roman" w:eastAsia="Times New Roman" w:hAnsi="Times New Roman"/>
          <w:sz w:val="18"/>
          <w:szCs w:val="18"/>
          <w:b w:val="1"/>
          <w:bCs w:val="1"/>
          <w:color w:val="auto"/>
        </w:rPr>
        <w:t>Treace Medical Concepts, Inc.</w:t>
      </w:r>
      <w:r>
        <w:rPr>
          <w:sz w:val="20"/>
          <w:szCs w:val="20"/>
          <w:color w:val="auto"/>
        </w:rPr>
        <w:tab/>
      </w:r>
      <w:r>
        <w:rPr>
          <w:rFonts w:ascii="Times New Roman" w:cs="Times New Roman" w:eastAsia="Times New Roman" w:hAnsi="Times New Roman"/>
          <w:sz w:val="17"/>
          <w:szCs w:val="17"/>
          <w:b w:val="1"/>
          <w:bCs w:val="1"/>
          <w:color w:val="auto"/>
        </w:rPr>
        <w:t>Gaetano M. Guglielmino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By:</w:t>
            </w:r>
          </w:p>
        </w:tc>
        <w:tc>
          <w:tcPr>
            <w:tcW w:w="16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w w:val="99"/>
              </w:rPr>
              <w:t xml:space="preserve">_ </w:t>
            </w:r>
            <w:r>
              <w:rPr>
                <w:rFonts w:ascii="Times New Roman" w:cs="Times New Roman" w:eastAsia="Times New Roman" w:hAnsi="Times New Roman"/>
                <w:sz w:val="21"/>
                <w:szCs w:val="21"/>
                <w:color w:val="auto"/>
                <w:w w:val="99"/>
              </w:rPr>
              <w:t>/s/</w:t>
            </w:r>
            <w:r>
              <w:rPr>
                <w:rFonts w:ascii="Times New Roman" w:cs="Times New Roman" w:eastAsia="Times New Roman" w:hAnsi="Times New Roman"/>
                <w:sz w:val="18"/>
                <w:szCs w:val="18"/>
                <w:color w:val="auto"/>
                <w:w w:val="99"/>
              </w:rPr>
              <w:t xml:space="preserve"> Daniel E. Owens</w:t>
            </w:r>
          </w:p>
        </w:tc>
        <w:tc>
          <w:tcPr>
            <w:tcW w:w="2160" w:type="dxa"/>
            <w:vAlign w:val="bottom"/>
          </w:tcPr>
          <w:p>
            <w:pPr>
              <w:spacing w:after="0"/>
              <w:rPr>
                <w:sz w:val="22"/>
                <w:szCs w:val="22"/>
                <w:color w:val="auto"/>
              </w:rPr>
            </w:pPr>
          </w:p>
        </w:tc>
        <w:tc>
          <w:tcPr>
            <w:tcW w:w="7040" w:type="dxa"/>
            <w:vAlign w:val="bottom"/>
            <w:gridSpan w:val="5"/>
          </w:tcPr>
          <w:p>
            <w:pPr>
              <w:ind w:left="1340"/>
              <w:spacing w:after="0"/>
              <w:rPr>
                <w:sz w:val="20"/>
                <w:szCs w:val="20"/>
                <w:color w:val="auto"/>
              </w:rPr>
            </w:pPr>
            <w:r>
              <w:rPr>
                <w:rFonts w:ascii="Times New Roman" w:cs="Times New Roman" w:eastAsia="Times New Roman" w:hAnsi="Times New Roman"/>
                <w:sz w:val="18"/>
                <w:szCs w:val="18"/>
                <w:color w:val="auto"/>
              </w:rPr>
              <w:t>By: /s/ Gaetano M. Guglielmino</w:t>
            </w:r>
          </w:p>
        </w:tc>
        <w:tc>
          <w:tcPr>
            <w:tcW w:w="0" w:type="dxa"/>
            <w:vAlign w:val="bottom"/>
          </w:tcPr>
          <w:p>
            <w:pPr>
              <w:spacing w:after="0"/>
              <w:rPr>
                <w:sz w:val="1"/>
                <w:szCs w:val="1"/>
                <w:color w:val="auto"/>
              </w:rPr>
            </w:pPr>
          </w:p>
        </w:tc>
      </w:tr>
      <w:tr>
        <w:trPr>
          <w:trHeight w:val="20"/>
        </w:trPr>
        <w:tc>
          <w:tcPr>
            <w:tcW w:w="4200" w:type="dxa"/>
            <w:vAlign w:val="bottom"/>
            <w:gridSpan w:val="5"/>
            <w:vMerge w:val="restart"/>
          </w:tcPr>
          <w:p>
            <w:pPr>
              <w:ind w:left="120"/>
              <w:spacing w:after="0"/>
              <w:rPr>
                <w:sz w:val="20"/>
                <w:szCs w:val="20"/>
                <w:color w:val="auto"/>
              </w:rPr>
            </w:pPr>
            <w:r>
              <w:rPr>
                <w:rFonts w:ascii="Times New Roman" w:cs="Times New Roman" w:eastAsia="Times New Roman" w:hAnsi="Times New Roman"/>
                <w:sz w:val="18"/>
                <w:szCs w:val="18"/>
                <w:color w:val="auto"/>
              </w:rPr>
              <w:t>Name: Daniel E. Owens</w:t>
            </w:r>
          </w:p>
        </w:tc>
        <w:tc>
          <w:tcPr>
            <w:tcW w:w="1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4200" w:type="dxa"/>
            <w:vAlign w:val="bottom"/>
            <w:gridSpan w:val="5"/>
            <w:vMerge w:val="continue"/>
          </w:tcPr>
          <w:p>
            <w:pPr>
              <w:spacing w:after="0"/>
              <w:rPr>
                <w:sz w:val="24"/>
                <w:szCs w:val="24"/>
                <w:color w:val="auto"/>
              </w:rPr>
            </w:pPr>
          </w:p>
        </w:tc>
        <w:tc>
          <w:tcPr>
            <w:tcW w:w="7040" w:type="dxa"/>
            <w:vAlign w:val="bottom"/>
            <w:gridSpan w:val="5"/>
          </w:tcPr>
          <w:p>
            <w:pPr>
              <w:ind w:left="1340"/>
              <w:spacing w:after="0"/>
              <w:rPr>
                <w:sz w:val="20"/>
                <w:szCs w:val="20"/>
                <w:color w:val="auto"/>
              </w:rPr>
            </w:pPr>
            <w:r>
              <w:rPr>
                <w:rFonts w:ascii="Times New Roman" w:cs="Times New Roman" w:eastAsia="Times New Roman" w:hAnsi="Times New Roman"/>
                <w:sz w:val="18"/>
                <w:szCs w:val="18"/>
                <w:color w:val="auto"/>
              </w:rPr>
              <w:t>Name: Gaetano M. Guglielmino</w:t>
            </w:r>
          </w:p>
        </w:tc>
        <w:tc>
          <w:tcPr>
            <w:tcW w:w="0" w:type="dxa"/>
            <w:vAlign w:val="bottom"/>
          </w:tcPr>
          <w:p>
            <w:pPr>
              <w:spacing w:after="0"/>
              <w:rPr>
                <w:sz w:val="1"/>
                <w:szCs w:val="1"/>
                <w:color w:val="auto"/>
              </w:rPr>
            </w:pPr>
          </w:p>
        </w:tc>
      </w:tr>
      <w:tr>
        <w:trPr>
          <w:trHeight w:val="270"/>
        </w:trPr>
        <w:tc>
          <w:tcPr>
            <w:tcW w:w="420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Title: Chief Human Resources Officer</w:t>
            </w:r>
          </w:p>
        </w:tc>
        <w:tc>
          <w:tcPr>
            <w:tcW w:w="7040" w:type="dxa"/>
            <w:vAlign w:val="bottom"/>
            <w:gridSpan w:val="5"/>
          </w:tcPr>
          <w:p>
            <w:pPr>
              <w:ind w:left="1340"/>
              <w:spacing w:after="0"/>
              <w:rPr>
                <w:sz w:val="20"/>
                <w:szCs w:val="20"/>
                <w:color w:val="auto"/>
              </w:rPr>
            </w:pPr>
            <w:r>
              <w:rPr>
                <w:rFonts w:ascii="Times New Roman" w:cs="Times New Roman" w:eastAsia="Times New Roman" w:hAnsi="Times New Roman"/>
                <w:sz w:val="18"/>
                <w:szCs w:val="18"/>
                <w:color w:val="auto"/>
              </w:rPr>
              <w:t>Title: Independent Contractor</w:t>
            </w:r>
          </w:p>
        </w:tc>
        <w:tc>
          <w:tcPr>
            <w:tcW w:w="0" w:type="dxa"/>
            <w:vAlign w:val="bottom"/>
          </w:tcPr>
          <w:p>
            <w:pPr>
              <w:spacing w:after="0"/>
              <w:rPr>
                <w:sz w:val="1"/>
                <w:szCs w:val="1"/>
                <w:color w:val="auto"/>
              </w:rPr>
            </w:pPr>
          </w:p>
        </w:tc>
      </w:tr>
      <w:tr>
        <w:trPr>
          <w:trHeight w:val="203"/>
        </w:trPr>
        <w:tc>
          <w:tcPr>
            <w:tcW w:w="640" w:type="dxa"/>
            <w:vAlign w:val="bottom"/>
            <w:gridSpan w:val="2"/>
          </w:tcPr>
          <w:p>
            <w:pPr>
              <w:ind w:left="120"/>
              <w:spacing w:after="0" w:line="196" w:lineRule="exact"/>
              <w:rPr>
                <w:sz w:val="20"/>
                <w:szCs w:val="20"/>
                <w:color w:val="auto"/>
              </w:rPr>
            </w:pPr>
            <w:r>
              <w:rPr>
                <w:rFonts w:ascii="Times New Roman" w:cs="Times New Roman" w:eastAsia="Times New Roman" w:hAnsi="Times New Roman"/>
                <w:sz w:val="18"/>
                <w:szCs w:val="18"/>
                <w:color w:val="auto"/>
                <w:w w:val="95"/>
              </w:rPr>
              <w:t>Date: _</w:t>
            </w:r>
          </w:p>
        </w:tc>
        <w:tc>
          <w:tcPr>
            <w:tcW w:w="64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w w:val="96"/>
              </w:rPr>
              <w:t>4/8/2026</w:t>
            </w:r>
          </w:p>
        </w:tc>
        <w:tc>
          <w:tcPr>
            <w:tcW w:w="2920" w:type="dxa"/>
            <w:vAlign w:val="bottom"/>
            <w:gridSpan w:val="2"/>
          </w:tcPr>
          <w:p>
            <w:pPr>
              <w:spacing w:after="0"/>
              <w:rPr>
                <w:sz w:val="17"/>
                <w:szCs w:val="17"/>
                <w:color w:val="auto"/>
              </w:rPr>
            </w:pPr>
          </w:p>
        </w:tc>
        <w:tc>
          <w:tcPr>
            <w:tcW w:w="7040" w:type="dxa"/>
            <w:vAlign w:val="bottom"/>
            <w:gridSpan w:val="5"/>
          </w:tcPr>
          <w:p>
            <w:pPr>
              <w:ind w:left="1340"/>
              <w:spacing w:after="0" w:line="196" w:lineRule="exact"/>
              <w:rPr>
                <w:sz w:val="20"/>
                <w:szCs w:val="20"/>
                <w:color w:val="auto"/>
              </w:rPr>
            </w:pPr>
            <w:r>
              <w:rPr>
                <w:rFonts w:ascii="Times New Roman" w:cs="Times New Roman" w:eastAsia="Times New Roman" w:hAnsi="Times New Roman"/>
                <w:sz w:val="18"/>
                <w:szCs w:val="18"/>
                <w:color w:val="auto"/>
              </w:rPr>
              <w:t>Date: 4/8/2026</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640" w:type="dxa"/>
            <w:vAlign w:val="bottom"/>
            <w:vMerge w:val="restart"/>
          </w:tcPr>
          <w:p>
            <w:pPr>
              <w:ind w:left="1380"/>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12"/>
        </w:trPr>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6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16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33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52"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RELEASE AGREEMENT</w:t>
      </w:r>
    </w:p>
    <w:p>
      <w:pPr>
        <w:spacing w:after="0" w:line="3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23"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color w:val="auto"/>
        </w:rPr>
        <w:t>Exhibit A – Release – 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484505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13" w:right="3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52" w:lineRule="exact"/>
        <w:rPr>
          <w:sz w:val="20"/>
          <w:szCs w:val="20"/>
          <w:color w:val="auto"/>
        </w:rPr>
      </w:pPr>
    </w:p>
    <w:p>
      <w:pPr>
        <w:jc w:val="center"/>
        <w:ind w:right="1160"/>
        <w:spacing w:after="0"/>
        <w:rPr>
          <w:sz w:val="20"/>
          <w:szCs w:val="20"/>
          <w:color w:val="auto"/>
        </w:rPr>
      </w:pPr>
      <w:r>
        <w:rPr>
          <w:rFonts w:ascii="Times New Roman" w:cs="Times New Roman" w:eastAsia="Times New Roman" w:hAnsi="Times New Roman"/>
          <w:sz w:val="18"/>
          <w:szCs w:val="18"/>
          <w:b w:val="1"/>
          <w:bCs w:val="1"/>
          <w:color w:val="auto"/>
        </w:rPr>
        <w:t>WRITTEN ATTESTATION RE:</w:t>
      </w:r>
    </w:p>
    <w:p>
      <w:pPr>
        <w:spacing w:after="0" w:line="3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CONFIDENTIALITY, NON-COMPETITION, NON-SOLICITATION AND INVENTIONS AGREEMENT</w:t>
      </w:r>
    </w:p>
    <w:p>
      <w:pPr>
        <w:spacing w:after="0" w:line="245"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59"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6"/>
          <w:szCs w:val="16"/>
          <w:color w:val="auto"/>
        </w:rPr>
        <w:t>Exhibit B – Acknowledgement of Restrictive Covenant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487680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13" w:right="3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C</w:t>
      </w:r>
    </w:p>
    <w:p>
      <w:pPr>
        <w:spacing w:after="0" w:line="252"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Inventory of Furniture and Household Items that will remain in the apartment and be sold to TMC</w:t>
      </w:r>
    </w:p>
    <w:p>
      <w:pPr>
        <w:spacing w:after="0" w:line="4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884555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13" w:right="3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T. Treace, certify that:</w:t>
      </w:r>
    </w:p>
    <w:p>
      <w:pPr>
        <w:spacing w:after="0" w:line="185" w:lineRule="exact"/>
        <w:rPr>
          <w:sz w:val="20"/>
          <w:szCs w:val="20"/>
          <w:color w:val="auto"/>
        </w:rPr>
      </w:pPr>
    </w:p>
    <w:p>
      <w:pPr>
        <w:ind w:left="360" w:hanging="352"/>
        <w:spacing w:after="0"/>
        <w:tabs>
          <w:tab w:leader="none" w:pos="3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Treace Medical Concepts, Inc.;</w:t>
      </w:r>
    </w:p>
    <w:p>
      <w:pPr>
        <w:spacing w:after="0" w:line="184" w:lineRule="exact"/>
        <w:rPr>
          <w:rFonts w:ascii="Times New Roman" w:cs="Times New Roman" w:eastAsia="Times New Roman" w:hAnsi="Times New Roman"/>
          <w:sz w:val="18"/>
          <w:szCs w:val="18"/>
          <w:color w:val="auto"/>
        </w:rPr>
      </w:pPr>
    </w:p>
    <w:p>
      <w:pPr>
        <w:jc w:val="both"/>
        <w:ind w:left="380" w:right="400" w:hanging="372"/>
        <w:spacing w:after="0" w:line="266" w:lineRule="auto"/>
        <w:tabs>
          <w:tab w:leader="none" w:pos="36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8" w:lineRule="exact"/>
        <w:rPr>
          <w:rFonts w:ascii="Times New Roman" w:cs="Times New Roman" w:eastAsia="Times New Roman" w:hAnsi="Times New Roman"/>
          <w:sz w:val="18"/>
          <w:szCs w:val="18"/>
          <w:color w:val="auto"/>
        </w:rPr>
      </w:pPr>
    </w:p>
    <w:p>
      <w:pPr>
        <w:ind w:left="380" w:right="360" w:hanging="372"/>
        <w:spacing w:after="0" w:line="282" w:lineRule="auto"/>
        <w:tabs>
          <w:tab w:leader="none" w:pos="36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jc w:val="both"/>
        <w:ind w:left="380" w:right="380" w:hanging="372"/>
        <w:spacing w:after="0" w:line="266" w:lineRule="auto"/>
        <w:tabs>
          <w:tab w:leader="none" w:pos="36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Times New Roman" w:cs="Times New Roman" w:eastAsia="Times New Roman" w:hAnsi="Times New Roman"/>
          <w:sz w:val="18"/>
          <w:szCs w:val="18"/>
          <w:color w:val="auto"/>
        </w:rPr>
      </w:pPr>
    </w:p>
    <w:p>
      <w:pPr>
        <w:ind w:left="1140" w:right="100" w:hanging="383"/>
        <w:spacing w:after="0" w:line="266" w:lineRule="auto"/>
        <w:tabs>
          <w:tab w:leader="none" w:pos="1125"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Times New Roman" w:cs="Times New Roman" w:eastAsia="Times New Roman" w:hAnsi="Times New Roman"/>
          <w:sz w:val="18"/>
          <w:szCs w:val="18"/>
          <w:color w:val="auto"/>
        </w:rPr>
      </w:pPr>
    </w:p>
    <w:p>
      <w:pPr>
        <w:ind w:left="1140" w:right="220" w:hanging="383"/>
        <w:spacing w:after="0" w:line="266" w:lineRule="auto"/>
        <w:tabs>
          <w:tab w:leader="none" w:pos="1125"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jc w:val="both"/>
        <w:ind w:left="1140" w:right="380" w:hanging="383"/>
        <w:spacing w:after="0" w:line="312" w:lineRule="auto"/>
        <w:tabs>
          <w:tab w:leader="none" w:pos="1125"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9" w:lineRule="exact"/>
        <w:rPr>
          <w:rFonts w:ascii="Times New Roman" w:cs="Times New Roman" w:eastAsia="Times New Roman" w:hAnsi="Times New Roman"/>
          <w:sz w:val="17"/>
          <w:szCs w:val="17"/>
          <w:color w:val="auto"/>
        </w:rPr>
      </w:pPr>
    </w:p>
    <w:p>
      <w:pPr>
        <w:ind w:left="1140" w:right="100" w:hanging="383"/>
        <w:spacing w:after="0" w:line="266" w:lineRule="auto"/>
        <w:tabs>
          <w:tab w:leader="none" w:pos="1125"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8" w:lineRule="exact"/>
        <w:rPr>
          <w:rFonts w:ascii="Times New Roman" w:cs="Times New Roman" w:eastAsia="Times New Roman" w:hAnsi="Times New Roman"/>
          <w:sz w:val="18"/>
          <w:szCs w:val="18"/>
          <w:color w:val="auto"/>
        </w:rPr>
      </w:pPr>
    </w:p>
    <w:p>
      <w:pPr>
        <w:ind w:left="380" w:right="120" w:hanging="372"/>
        <w:spacing w:after="0" w:line="282" w:lineRule="auto"/>
        <w:tabs>
          <w:tab w:leader="none" w:pos="36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ind w:left="1140" w:right="640" w:hanging="383"/>
        <w:spacing w:after="0" w:line="282" w:lineRule="auto"/>
        <w:tabs>
          <w:tab w:leader="none" w:pos="1125"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1140" w:right="340" w:hanging="383"/>
        <w:spacing w:after="0" w:line="282" w:lineRule="auto"/>
        <w:tabs>
          <w:tab w:leader="none" w:pos="1125"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tabs>
          <w:tab w:leader="none" w:pos="5380" w:val="left"/>
          <w:tab w:leader="none" w:pos="7940" w:val="left"/>
        </w:tabs>
        <w:rPr>
          <w:sz w:val="20"/>
          <w:szCs w:val="20"/>
          <w:color w:val="auto"/>
        </w:rPr>
      </w:pPr>
      <w:r>
        <w:rPr>
          <w:rFonts w:ascii="Times New Roman" w:cs="Times New Roman" w:eastAsia="Times New Roman" w:hAnsi="Times New Roman"/>
          <w:sz w:val="18"/>
          <w:szCs w:val="18"/>
          <w:color w:val="auto"/>
        </w:rPr>
        <w:t>Date: May 8,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John T. Treace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334327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43" w:lineRule="exact"/>
        <w:rPr>
          <w:sz w:val="20"/>
          <w:szCs w:val="20"/>
          <w:color w:val="auto"/>
        </w:rPr>
      </w:pPr>
    </w:p>
    <w:p>
      <w:pPr>
        <w:jc w:val="center"/>
        <w:ind w:left="5960"/>
        <w:spacing w:after="0"/>
        <w:rPr>
          <w:sz w:val="20"/>
          <w:szCs w:val="20"/>
          <w:color w:val="auto"/>
        </w:rPr>
      </w:pPr>
      <w:r>
        <w:rPr>
          <w:rFonts w:ascii="Times New Roman" w:cs="Times New Roman" w:eastAsia="Times New Roman" w:hAnsi="Times New Roman"/>
          <w:sz w:val="18"/>
          <w:szCs w:val="18"/>
          <w:color w:val="auto"/>
        </w:rPr>
        <w:t>John T. Treace</w:t>
      </w:r>
    </w:p>
    <w:p>
      <w:pPr>
        <w:spacing w:after="0" w:line="27" w:lineRule="exact"/>
        <w:rPr>
          <w:sz w:val="20"/>
          <w:szCs w:val="20"/>
          <w:color w:val="auto"/>
        </w:rPr>
      </w:pPr>
    </w:p>
    <w:p>
      <w:pPr>
        <w:jc w:val="center"/>
        <w:ind w:left="5960"/>
        <w:spacing w:after="0"/>
        <w:rPr>
          <w:sz w:val="20"/>
          <w:szCs w:val="20"/>
          <w:color w:val="auto"/>
        </w:rPr>
      </w:pPr>
      <w:r>
        <w:rPr>
          <w:rFonts w:ascii="Times New Roman" w:cs="Times New Roman" w:eastAsia="Times New Roman" w:hAnsi="Times New Roman"/>
          <w:sz w:val="18"/>
          <w:szCs w:val="18"/>
          <w:color w:val="auto"/>
        </w:rPr>
        <w:t>Chief Executive Officer (Principal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1030605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Mark L. Hair, certify that:</w:t>
      </w:r>
    </w:p>
    <w:p>
      <w:pPr>
        <w:spacing w:after="0" w:line="185" w:lineRule="exact"/>
        <w:rPr>
          <w:sz w:val="20"/>
          <w:szCs w:val="20"/>
          <w:color w:val="auto"/>
        </w:rPr>
      </w:pPr>
    </w:p>
    <w:p>
      <w:pPr>
        <w:ind w:left="360" w:hanging="352"/>
        <w:spacing w:after="0"/>
        <w:tabs>
          <w:tab w:leader="none" w:pos="3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Treace Medical Concepts, Inc.;</w:t>
      </w:r>
    </w:p>
    <w:p>
      <w:pPr>
        <w:spacing w:after="0" w:line="184" w:lineRule="exact"/>
        <w:rPr>
          <w:rFonts w:ascii="Times New Roman" w:cs="Times New Roman" w:eastAsia="Times New Roman" w:hAnsi="Times New Roman"/>
          <w:sz w:val="18"/>
          <w:szCs w:val="18"/>
          <w:color w:val="auto"/>
        </w:rPr>
      </w:pPr>
    </w:p>
    <w:p>
      <w:pPr>
        <w:jc w:val="both"/>
        <w:ind w:left="380" w:right="400" w:hanging="372"/>
        <w:spacing w:after="0" w:line="266" w:lineRule="auto"/>
        <w:tabs>
          <w:tab w:leader="none" w:pos="36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8" w:lineRule="exact"/>
        <w:rPr>
          <w:rFonts w:ascii="Times New Roman" w:cs="Times New Roman" w:eastAsia="Times New Roman" w:hAnsi="Times New Roman"/>
          <w:sz w:val="18"/>
          <w:szCs w:val="18"/>
          <w:color w:val="auto"/>
        </w:rPr>
      </w:pPr>
    </w:p>
    <w:p>
      <w:pPr>
        <w:ind w:left="380" w:right="360" w:hanging="372"/>
        <w:spacing w:after="0" w:line="282" w:lineRule="auto"/>
        <w:tabs>
          <w:tab w:leader="none" w:pos="36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jc w:val="both"/>
        <w:ind w:left="380" w:right="380" w:hanging="372"/>
        <w:spacing w:after="0" w:line="266" w:lineRule="auto"/>
        <w:tabs>
          <w:tab w:leader="none" w:pos="36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Times New Roman" w:cs="Times New Roman" w:eastAsia="Times New Roman" w:hAnsi="Times New Roman"/>
          <w:sz w:val="18"/>
          <w:szCs w:val="18"/>
          <w:color w:val="auto"/>
        </w:rPr>
      </w:pPr>
    </w:p>
    <w:p>
      <w:pPr>
        <w:ind w:left="1140" w:right="100" w:hanging="383"/>
        <w:spacing w:after="0" w:line="266" w:lineRule="auto"/>
        <w:tabs>
          <w:tab w:leader="none" w:pos="1125"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Times New Roman" w:cs="Times New Roman" w:eastAsia="Times New Roman" w:hAnsi="Times New Roman"/>
          <w:sz w:val="18"/>
          <w:szCs w:val="18"/>
          <w:color w:val="auto"/>
        </w:rPr>
      </w:pPr>
    </w:p>
    <w:p>
      <w:pPr>
        <w:ind w:left="1140" w:right="220" w:hanging="383"/>
        <w:spacing w:after="0" w:line="266" w:lineRule="auto"/>
        <w:tabs>
          <w:tab w:leader="none" w:pos="1125"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jc w:val="both"/>
        <w:ind w:left="1140" w:right="380" w:hanging="383"/>
        <w:spacing w:after="0" w:line="312" w:lineRule="auto"/>
        <w:tabs>
          <w:tab w:leader="none" w:pos="1125" w:val="left"/>
        </w:tabs>
        <w:numPr>
          <w:ilvl w:val="1"/>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9" w:lineRule="exact"/>
        <w:rPr>
          <w:rFonts w:ascii="Times New Roman" w:cs="Times New Roman" w:eastAsia="Times New Roman" w:hAnsi="Times New Roman"/>
          <w:sz w:val="17"/>
          <w:szCs w:val="17"/>
          <w:color w:val="auto"/>
        </w:rPr>
      </w:pPr>
    </w:p>
    <w:p>
      <w:pPr>
        <w:ind w:left="1140" w:right="100" w:hanging="383"/>
        <w:spacing w:after="0" w:line="266" w:lineRule="auto"/>
        <w:tabs>
          <w:tab w:leader="none" w:pos="1125"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8" w:lineRule="exact"/>
        <w:rPr>
          <w:rFonts w:ascii="Times New Roman" w:cs="Times New Roman" w:eastAsia="Times New Roman" w:hAnsi="Times New Roman"/>
          <w:sz w:val="18"/>
          <w:szCs w:val="18"/>
          <w:color w:val="auto"/>
        </w:rPr>
      </w:pPr>
    </w:p>
    <w:p>
      <w:pPr>
        <w:ind w:left="380" w:right="120" w:hanging="372"/>
        <w:spacing w:after="0" w:line="282" w:lineRule="auto"/>
        <w:tabs>
          <w:tab w:leader="none" w:pos="36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ind w:left="1140" w:right="640" w:hanging="383"/>
        <w:spacing w:after="0" w:line="282" w:lineRule="auto"/>
        <w:tabs>
          <w:tab w:leader="none" w:pos="1125"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1140" w:right="340" w:hanging="383"/>
        <w:spacing w:after="0" w:line="282" w:lineRule="auto"/>
        <w:tabs>
          <w:tab w:leader="none" w:pos="1125"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tabs>
          <w:tab w:leader="none" w:pos="5380" w:val="left"/>
          <w:tab w:leader="none" w:pos="8000" w:val="left"/>
        </w:tabs>
        <w:rPr>
          <w:sz w:val="20"/>
          <w:szCs w:val="20"/>
          <w:color w:val="auto"/>
        </w:rPr>
      </w:pPr>
      <w:r>
        <w:rPr>
          <w:rFonts w:ascii="Times New Roman" w:cs="Times New Roman" w:eastAsia="Times New Roman" w:hAnsi="Times New Roman"/>
          <w:sz w:val="18"/>
          <w:szCs w:val="18"/>
          <w:color w:val="auto"/>
        </w:rPr>
        <w:t>Date: May 8,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Mark L. 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334327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43" w:lineRule="exact"/>
        <w:rPr>
          <w:sz w:val="20"/>
          <w:szCs w:val="20"/>
          <w:color w:val="auto"/>
        </w:rPr>
      </w:pPr>
    </w:p>
    <w:p>
      <w:pPr>
        <w:jc w:val="center"/>
        <w:ind w:left="5960"/>
        <w:spacing w:after="0"/>
        <w:rPr>
          <w:sz w:val="20"/>
          <w:szCs w:val="20"/>
          <w:color w:val="auto"/>
        </w:rPr>
      </w:pPr>
      <w:r>
        <w:rPr>
          <w:rFonts w:ascii="Times New Roman" w:cs="Times New Roman" w:eastAsia="Times New Roman" w:hAnsi="Times New Roman"/>
          <w:sz w:val="18"/>
          <w:szCs w:val="18"/>
          <w:color w:val="auto"/>
        </w:rPr>
        <w:t>Mark L. Hair</w:t>
      </w:r>
    </w:p>
    <w:p>
      <w:pPr>
        <w:spacing w:after="0" w:line="27" w:lineRule="exact"/>
        <w:rPr>
          <w:sz w:val="20"/>
          <w:szCs w:val="20"/>
          <w:color w:val="auto"/>
        </w:rPr>
      </w:pPr>
    </w:p>
    <w:p>
      <w:pPr>
        <w:jc w:val="center"/>
        <w:ind w:left="59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jc w:val="center"/>
        <w:ind w:left="596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1021715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2" w:name="page43"/>
    <w:bookmarkEnd w:id="42"/>
    <w:p>
      <w:pPr>
        <w:spacing w:after="0" w:line="19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Exhibit 32.1</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CERTIFICATION PURSUANT TO</w:t>
      </w:r>
    </w:p>
    <w:p>
      <w:pPr>
        <w:spacing w:after="0" w:line="8"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22"/>
          <w:szCs w:val="22"/>
          <w:b w:val="1"/>
          <w:bCs w:val="1"/>
          <w:color w:val="auto"/>
        </w:rPr>
        <w:t>18 U.S.C. SECTION 1350, AS ADOPTED PURSUANT TO</w:t>
      </w:r>
    </w:p>
    <w:p>
      <w:pPr>
        <w:ind w:left="2820"/>
        <w:spacing w:after="0"/>
        <w:rPr>
          <w:sz w:val="20"/>
          <w:szCs w:val="20"/>
          <w:color w:val="auto"/>
        </w:rPr>
      </w:pPr>
      <w:r>
        <w:rPr>
          <w:rFonts w:ascii="Times New Roman" w:cs="Times New Roman" w:eastAsia="Times New Roman" w:hAnsi="Times New Roman"/>
          <w:sz w:val="22"/>
          <w:szCs w:val="22"/>
          <w:b w:val="1"/>
          <w:bCs w:val="1"/>
          <w:color w:val="auto"/>
        </w:rPr>
        <w:t>SECTION 906 OF THE SARBANES-OXLEY ACT OF 2002</w:t>
      </w:r>
    </w:p>
    <w:p>
      <w:pPr>
        <w:spacing w:after="0" w:line="182" w:lineRule="exact"/>
        <w:rPr>
          <w:sz w:val="20"/>
          <w:szCs w:val="20"/>
          <w:color w:val="auto"/>
        </w:rPr>
      </w:pPr>
    </w:p>
    <w:p>
      <w:pPr>
        <w:ind w:firstLine="549"/>
        <w:spacing w:after="0" w:line="261" w:lineRule="auto"/>
        <w:rPr>
          <w:sz w:val="20"/>
          <w:szCs w:val="20"/>
          <w:color w:val="auto"/>
        </w:rPr>
      </w:pPr>
      <w:r>
        <w:rPr>
          <w:rFonts w:ascii="Times New Roman" w:cs="Times New Roman" w:eastAsia="Times New Roman" w:hAnsi="Times New Roman"/>
          <w:sz w:val="21"/>
          <w:szCs w:val="21"/>
          <w:color w:val="auto"/>
        </w:rPr>
        <w:t>In connection with the Quarterly Report on Form 10-Q of Treace Medical Concepts, Inc. (the “Company”) for the quarter ended March 31, 2026 as filed with the Securities and Exchange Commission on the date hereof (the “Report”), I certify, pursuant to 18 U.S.C. § 1350, as adopted pursuant to § 906 of the Sarbanes-Oxley Act of 2002, that, to the best of my knowledge:</w:t>
      </w:r>
    </w:p>
    <w:p>
      <w:pPr>
        <w:spacing w:after="0" w:line="157" w:lineRule="exact"/>
        <w:rPr>
          <w:sz w:val="20"/>
          <w:szCs w:val="20"/>
          <w:color w:val="auto"/>
        </w:rPr>
      </w:pPr>
    </w:p>
    <w:p>
      <w:pPr>
        <w:ind w:left="440" w:hanging="432"/>
        <w:spacing w:after="0"/>
        <w:tabs>
          <w:tab w:leader="none" w:pos="44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Report fully complies with the requirements of section 13(a) or 15(d) of the Securities Exchange Act of 1934; and</w:t>
      </w:r>
    </w:p>
    <w:p>
      <w:pPr>
        <w:spacing w:after="0" w:line="206" w:lineRule="exact"/>
        <w:rPr>
          <w:rFonts w:ascii="Times New Roman" w:cs="Times New Roman" w:eastAsia="Times New Roman" w:hAnsi="Times New Roman"/>
          <w:sz w:val="22"/>
          <w:szCs w:val="22"/>
          <w:color w:val="auto"/>
        </w:rPr>
      </w:pPr>
    </w:p>
    <w:p>
      <w:pPr>
        <w:ind w:right="700" w:firstLine="8"/>
        <w:spacing w:after="0" w:line="258" w:lineRule="auto"/>
        <w:tabs>
          <w:tab w:leader="none" w:pos="432"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information contained in the Report fairly presents, in all material respects, the financial condition and results of operations of the Company.</w:t>
      </w:r>
    </w:p>
    <w:p>
      <w:pPr>
        <w:spacing w:after="0" w:line="185" w:lineRule="exact"/>
        <w:rPr>
          <w:sz w:val="20"/>
          <w:szCs w:val="20"/>
          <w:color w:val="auto"/>
        </w:rPr>
      </w:pPr>
    </w:p>
    <w:p>
      <w:pPr>
        <w:spacing w:after="0"/>
        <w:tabs>
          <w:tab w:leader="none" w:pos="5280" w:val="left"/>
          <w:tab w:leader="none" w:pos="7780" w:val="left"/>
        </w:tabs>
        <w:rPr>
          <w:sz w:val="20"/>
          <w:szCs w:val="20"/>
          <w:color w:val="auto"/>
        </w:rPr>
      </w:pPr>
      <w:r>
        <w:rPr>
          <w:rFonts w:ascii="Times New Roman" w:cs="Times New Roman" w:eastAsia="Times New Roman" w:hAnsi="Times New Roman"/>
          <w:sz w:val="22"/>
          <w:szCs w:val="22"/>
          <w:color w:val="auto"/>
        </w:rPr>
        <w:t>Date: May 8, 2026</w:t>
      </w:r>
      <w:r>
        <w:rPr>
          <w:sz w:val="20"/>
          <w:szCs w:val="20"/>
          <w:color w:val="auto"/>
        </w:rPr>
        <w:tab/>
      </w: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John T. Treace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10795</wp:posOffset>
            </wp:positionV>
            <wp:extent cx="330898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9"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22"/>
          <w:szCs w:val="22"/>
          <w:color w:val="auto"/>
        </w:rPr>
        <w:t>John T. Treace</w:t>
      </w:r>
    </w:p>
    <w:p>
      <w:pPr>
        <w:ind w:left="7560"/>
        <w:spacing w:after="0" w:line="232" w:lineRule="auto"/>
        <w:rPr>
          <w:sz w:val="20"/>
          <w:szCs w:val="20"/>
          <w:color w:val="auto"/>
        </w:rPr>
      </w:pPr>
      <w:r>
        <w:rPr>
          <w:rFonts w:ascii="Times New Roman" w:cs="Times New Roman" w:eastAsia="Times New Roman" w:hAnsi="Times New Roman"/>
          <w:sz w:val="22"/>
          <w:szCs w:val="22"/>
          <w:color w:val="auto"/>
        </w:rPr>
        <w:t>Chief Executive Officer</w:t>
      </w:r>
    </w:p>
    <w:p>
      <w:pPr>
        <w:ind w:left="7380"/>
        <w:spacing w:after="0"/>
        <w:rPr>
          <w:sz w:val="20"/>
          <w:szCs w:val="20"/>
          <w:color w:val="auto"/>
        </w:rPr>
      </w:pPr>
      <w:r>
        <w:rPr>
          <w:rFonts w:ascii="Times New Roman" w:cs="Times New Roman" w:eastAsia="Times New Roman" w:hAnsi="Times New Roman"/>
          <w:sz w:val="22"/>
          <w:szCs w:val="22"/>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1011555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3" w:name="page44"/>
    <w:bookmarkEnd w:id="43"/>
    <w:p>
      <w:pPr>
        <w:spacing w:after="0" w:line="19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Exhibit 32.2</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CERTIFICATION PURSUANT TO</w:t>
      </w:r>
    </w:p>
    <w:p>
      <w:pPr>
        <w:spacing w:after="0" w:line="8"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22"/>
          <w:szCs w:val="22"/>
          <w:b w:val="1"/>
          <w:bCs w:val="1"/>
          <w:color w:val="auto"/>
        </w:rPr>
        <w:t>18 U.S.C. SECTION 1350, AS ADOPTED PURSUANT TO</w:t>
      </w:r>
    </w:p>
    <w:p>
      <w:pPr>
        <w:ind w:left="2820"/>
        <w:spacing w:after="0"/>
        <w:rPr>
          <w:sz w:val="20"/>
          <w:szCs w:val="20"/>
          <w:color w:val="auto"/>
        </w:rPr>
      </w:pPr>
      <w:r>
        <w:rPr>
          <w:rFonts w:ascii="Times New Roman" w:cs="Times New Roman" w:eastAsia="Times New Roman" w:hAnsi="Times New Roman"/>
          <w:sz w:val="22"/>
          <w:szCs w:val="22"/>
          <w:b w:val="1"/>
          <w:bCs w:val="1"/>
          <w:color w:val="auto"/>
        </w:rPr>
        <w:t>SECTION 906 OF THE SARBANES-OXLEY ACT OF 2002</w:t>
      </w:r>
    </w:p>
    <w:p>
      <w:pPr>
        <w:spacing w:after="0" w:line="182" w:lineRule="exact"/>
        <w:rPr>
          <w:sz w:val="20"/>
          <w:szCs w:val="20"/>
          <w:color w:val="auto"/>
        </w:rPr>
      </w:pPr>
    </w:p>
    <w:p>
      <w:pPr>
        <w:ind w:firstLine="549"/>
        <w:spacing w:after="0" w:line="261" w:lineRule="auto"/>
        <w:rPr>
          <w:sz w:val="20"/>
          <w:szCs w:val="20"/>
          <w:color w:val="auto"/>
        </w:rPr>
      </w:pPr>
      <w:r>
        <w:rPr>
          <w:rFonts w:ascii="Times New Roman" w:cs="Times New Roman" w:eastAsia="Times New Roman" w:hAnsi="Times New Roman"/>
          <w:sz w:val="21"/>
          <w:szCs w:val="21"/>
          <w:color w:val="auto"/>
        </w:rPr>
        <w:t>In connection with the Quarterly Report on Form 10-Q of Treace Medical Concepts, Inc. (the “Company”) for the quarter ended March 31, 2026 as filed with the Securities and Exchange Commission on the date hereof (the “Report”), I certify, pursuant to 18 U.S.C. § 1350, as adopted pursuant to § 906 of the Sarbanes-Oxley Act of 2002, that, to the best of my knowledge:</w:t>
      </w:r>
    </w:p>
    <w:p>
      <w:pPr>
        <w:spacing w:after="0" w:line="157" w:lineRule="exact"/>
        <w:rPr>
          <w:sz w:val="20"/>
          <w:szCs w:val="20"/>
          <w:color w:val="auto"/>
        </w:rPr>
      </w:pPr>
    </w:p>
    <w:p>
      <w:pPr>
        <w:ind w:left="440" w:hanging="432"/>
        <w:spacing w:after="0"/>
        <w:tabs>
          <w:tab w:leader="none" w:pos="44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Report fully complies with the requirements of section 13(a) or 15(d) of the Securities Exchange Act of 1934; and</w:t>
      </w:r>
    </w:p>
    <w:p>
      <w:pPr>
        <w:spacing w:after="0" w:line="206" w:lineRule="exact"/>
        <w:rPr>
          <w:rFonts w:ascii="Times New Roman" w:cs="Times New Roman" w:eastAsia="Times New Roman" w:hAnsi="Times New Roman"/>
          <w:sz w:val="22"/>
          <w:szCs w:val="22"/>
          <w:color w:val="auto"/>
        </w:rPr>
      </w:pPr>
    </w:p>
    <w:p>
      <w:pPr>
        <w:ind w:right="700" w:firstLine="8"/>
        <w:spacing w:after="0" w:line="258" w:lineRule="auto"/>
        <w:tabs>
          <w:tab w:leader="none" w:pos="432"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information contained in the Report fairly presents, in all material respects, the financial condition and results of operations of the Company.</w:t>
      </w:r>
    </w:p>
    <w:p>
      <w:pPr>
        <w:spacing w:after="0" w:line="185" w:lineRule="exact"/>
        <w:rPr>
          <w:sz w:val="20"/>
          <w:szCs w:val="20"/>
          <w:color w:val="auto"/>
        </w:rPr>
      </w:pPr>
    </w:p>
    <w:p>
      <w:pPr>
        <w:spacing w:after="0"/>
        <w:tabs>
          <w:tab w:leader="none" w:pos="5380" w:val="left"/>
          <w:tab w:leader="none" w:pos="7920" w:val="left"/>
        </w:tabs>
        <w:rPr>
          <w:sz w:val="20"/>
          <w:szCs w:val="20"/>
          <w:color w:val="auto"/>
        </w:rPr>
      </w:pPr>
      <w:r>
        <w:rPr>
          <w:rFonts w:ascii="Times New Roman" w:cs="Times New Roman" w:eastAsia="Times New Roman" w:hAnsi="Times New Roman"/>
          <w:sz w:val="22"/>
          <w:szCs w:val="22"/>
          <w:color w:val="auto"/>
        </w:rPr>
        <w:t>Date: May 8, 2026</w:t>
      </w:r>
      <w:r>
        <w:rPr>
          <w:sz w:val="20"/>
          <w:szCs w:val="20"/>
          <w:color w:val="auto"/>
        </w:rPr>
        <w:tab/>
      </w: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Mark L. 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10795</wp:posOffset>
            </wp:positionV>
            <wp:extent cx="330898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9"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22"/>
          <w:szCs w:val="22"/>
          <w:color w:val="auto"/>
        </w:rPr>
        <w:t>Mark L. Hair</w:t>
      </w:r>
    </w:p>
    <w:p>
      <w:pPr>
        <w:jc w:val="center"/>
        <w:ind w:left="6000"/>
        <w:spacing w:after="0" w:line="232" w:lineRule="auto"/>
        <w:rPr>
          <w:sz w:val="20"/>
          <w:szCs w:val="20"/>
          <w:color w:val="auto"/>
        </w:rPr>
      </w:pPr>
      <w:r>
        <w:rPr>
          <w:rFonts w:ascii="Times New Roman" w:cs="Times New Roman" w:eastAsia="Times New Roman" w:hAnsi="Times New Roman"/>
          <w:sz w:val="22"/>
          <w:szCs w:val="22"/>
          <w:color w:val="auto"/>
        </w:rPr>
        <w:t>Chief Financial Officer</w:t>
      </w:r>
    </w:p>
    <w:p>
      <w:pPr>
        <w:jc w:val="center"/>
        <w:ind w:left="6000"/>
        <w:spacing w:after="0"/>
        <w:rPr>
          <w:sz w:val="20"/>
          <w:szCs w:val="20"/>
          <w:color w:val="auto"/>
        </w:rPr>
      </w:pPr>
      <w:r>
        <w:rPr>
          <w:rFonts w:ascii="Times New Roman" w:cs="Times New Roman" w:eastAsia="Times New Roman" w:hAnsi="Times New Roman"/>
          <w:sz w:val="22"/>
          <w:szCs w:val="22"/>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1011555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4" w:name="page45"/>
    <w:bookmarkEnd w:id="4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
      <w:numFmt w:val="bullet"/>
      <w:start w:val="1"/>
    </w:lvl>
  </w:abstractNum>
  <w:abstractNum w:abstractNumId="3">
    <w:nsid w:val="109CF92E"/>
    <w:multiLevelType w:val="hybridMultilevel"/>
    <w:lvl w:ilvl="0">
      <w:lvlJc w:val="left"/>
      <w:lvlText w:val="•"/>
      <w:numFmt w:val="bullet"/>
      <w:start w:val="1"/>
    </w:lvl>
  </w:abstractNum>
  <w:abstractNum w:abstractNumId="4">
    <w:nsid w:val="DED7263"/>
    <w:multiLevelType w:val="hybridMultilevel"/>
    <w:lvl w:ilvl="0">
      <w:lvlJc w:val="left"/>
      <w:lvlText w:val="(%1)"/>
      <w:numFmt w:val="decimal"/>
      <w:start w:val="3"/>
    </w:lvl>
  </w:abstractNum>
  <w:abstractNum w:abstractNumId="5">
    <w:nsid w:val="7FDCC233"/>
    <w:multiLevelType w:val="hybridMultilevel"/>
    <w:lvl w:ilvl="0">
      <w:lvlJc w:val="left"/>
      <w:lvlText w:val="1"/>
      <w:numFmt w:val="bullet"/>
      <w:start w:val="1"/>
    </w:lvl>
  </w:abstractNum>
  <w:abstractNum w:abstractNumId="6">
    <w:nsid w:val="1BEFD79F"/>
    <w:multiLevelType w:val="hybridMultilevel"/>
    <w:lvl w:ilvl="0">
      <w:lvlJc w:val="left"/>
      <w:lvlText w:val="l"/>
      <w:numFmt w:val="bullet"/>
      <w:start w:val="1"/>
    </w:lvl>
  </w:abstractNum>
  <w:abstractNum w:abstractNumId="7">
    <w:nsid w:val="41A7C4C9"/>
    <w:multiLevelType w:val="hybridMultilevel"/>
    <w:lvl w:ilvl="0">
      <w:lvlJc w:val="left"/>
      <w:lvlText w:val="•"/>
      <w:numFmt w:val="bullet"/>
      <w:start w:val="1"/>
    </w:lvl>
  </w:abstractNum>
  <w:abstractNum w:abstractNumId="8">
    <w:nsid w:val="6B68079A"/>
    <w:multiLevelType w:val="hybridMultilevel"/>
    <w:lvl w:ilvl="0">
      <w:lvlJc w:val="left"/>
      <w:lvlText w:val="•"/>
      <w:numFmt w:val="bullet"/>
      <w:start w:val="1"/>
    </w:lvl>
  </w:abstractNum>
  <w:abstractNum w:abstractNumId="9">
    <w:nsid w:val="4E6AFB66"/>
    <w:multiLevelType w:val="hybridMultilevel"/>
    <w:lvl w:ilvl="0">
      <w:lvlJc w:val="left"/>
      <w:lvlText w:val="(%1)"/>
      <w:numFmt w:val="decimal"/>
      <w:start w:val="1"/>
    </w:lvl>
  </w:abstractNum>
  <w:abstractNum w:abstractNumId="10">
    <w:nsid w:val="25E45D32"/>
    <w:multiLevelType w:val="hybridMultilevel"/>
    <w:lvl w:ilvl="0">
      <w:lvlJc w:val="left"/>
      <w:lvlText w:val="+"/>
      <w:numFmt w:val="bullet"/>
      <w:start w:val="1"/>
    </w:lvl>
  </w:abstractNum>
  <w:abstractNum w:abstractNumId="11">
    <w:nsid w:val="519B500D"/>
    <w:multiLevelType w:val="hybridMultilevel"/>
    <w:lvl w:ilvl="0">
      <w:lvlJc w:val="left"/>
      <w:lvlText w:val="*"/>
      <w:numFmt w:val="bullet"/>
      <w:start w:val="1"/>
    </w:lvl>
  </w:abstractNum>
  <w:abstractNum w:abstractNumId="12">
    <w:nsid w:val="431BD7B7"/>
    <w:multiLevelType w:val="hybridMultilevel"/>
    <w:lvl w:ilvl="0">
      <w:lvlJc w:val="left"/>
      <w:lvlText w:val="†"/>
      <w:numFmt w:val="bullet"/>
      <w:start w:val="1"/>
    </w:lvl>
  </w:abstractNum>
  <w:abstractNum w:abstractNumId="13">
    <w:nsid w:val="3F2DBA31"/>
    <w:multiLevelType w:val="hybridMultilevel"/>
    <w:lvl w:ilvl="0">
      <w:lvlJc w:val="left"/>
      <w:lvlText w:val="%1."/>
      <w:numFmt w:val="decimal"/>
      <w:start w:val="1"/>
    </w:lvl>
  </w:abstractNum>
  <w:abstractNum w:abstractNumId="14">
    <w:nsid w:val="7C83E458"/>
    <w:multiLevelType w:val="hybridMultilevel"/>
    <w:lvl w:ilvl="0">
      <w:lvlJc w:val="left"/>
      <w:lvlText w:val="%1."/>
      <w:numFmt w:val="decimal"/>
      <w:start w:val="5"/>
    </w:lvl>
  </w:abstractNum>
  <w:abstractNum w:abstractNumId="15">
    <w:nsid w:val="257130A3"/>
    <w:multiLevelType w:val="hybridMultilevel"/>
    <w:lvl w:ilvl="0">
      <w:lvlJc w:val="left"/>
      <w:lvlText w:val="%1."/>
      <w:numFmt w:val="decimal"/>
      <w:start w:val="7"/>
    </w:lvl>
  </w:abstractNum>
  <w:abstractNum w:abstractNumId="16">
    <w:nsid w:val="62BBD95A"/>
    <w:multiLevelType w:val="hybridMultilevel"/>
    <w:lvl w:ilvl="0">
      <w:lvlJc w:val="left"/>
      <w:lvlText w:val="%1."/>
      <w:numFmt w:val="decimal"/>
      <w:start w:val="12"/>
    </w:lvl>
  </w:abstractNum>
  <w:abstractNum w:abstractNumId="17">
    <w:nsid w:val="436C6125"/>
    <w:multiLevelType w:val="hybridMultilevel"/>
    <w:lvl w:ilvl="0">
      <w:lvlJc w:val="left"/>
      <w:lvlText w:val="%1."/>
      <w:numFmt w:val="decimal"/>
      <w:start w:val="16"/>
    </w:lvl>
  </w:abstractNum>
  <w:abstractNum w:abstractNumId="18">
    <w:nsid w:val="628C895D"/>
    <w:multiLevelType w:val="hybridMultilevel"/>
    <w:lvl w:ilvl="0">
      <w:lvlJc w:val="left"/>
      <w:lvlText w:val="%1."/>
      <w:numFmt w:val="decimal"/>
      <w:start w:val="17"/>
    </w:lvl>
  </w:abstractNum>
  <w:abstractNum w:abstractNumId="19">
    <w:nsid w:val="333AB105"/>
    <w:multiLevelType w:val="hybridMultilevel"/>
    <w:lvl w:ilvl="0">
      <w:lvlJc w:val="left"/>
      <w:lvlText w:val="%1."/>
      <w:numFmt w:val="decimal"/>
      <w:start w:val="1"/>
    </w:lvl>
    <w:lvl w:ilvl="1">
      <w:lvlJc w:val="left"/>
      <w:lvlText w:val="(%2)"/>
      <w:numFmt w:val="lowerLetter"/>
      <w:start w:val="1"/>
    </w:lvl>
  </w:abstractNum>
  <w:abstractNum w:abstractNumId="20">
    <w:nsid w:val="721DA317"/>
    <w:multiLevelType w:val="hybridMultilevel"/>
    <w:lvl w:ilvl="0">
      <w:lvlJc w:val="left"/>
      <w:lvlText w:val="%1."/>
      <w:numFmt w:val="decimal"/>
      <w:start w:val="1"/>
    </w:lvl>
    <w:lvl w:ilvl="1">
      <w:lvlJc w:val="left"/>
      <w:lvlText w:val="(%2)"/>
      <w:numFmt w:val="lowerLetter"/>
      <w:start w:val="1"/>
    </w:lvl>
  </w:abstractNum>
  <w:abstractNum w:abstractNumId="21">
    <w:nsid w:val="2443A858"/>
    <w:multiLevelType w:val="hybridMultilevel"/>
    <w:lvl w:ilvl="0">
      <w:lvlJc w:val="left"/>
      <w:lvlText w:val="(%1)"/>
      <w:numFmt w:val="decimal"/>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png"/><Relationship Id="rId124" Type="http://schemas.openxmlformats.org/officeDocument/2006/relationships/image" Target="media/image116.png"/><Relationship Id="rId125" Type="http://schemas.openxmlformats.org/officeDocument/2006/relationships/image" Target="media/image117.png"/><Relationship Id="rId126" Type="http://schemas.openxmlformats.org/officeDocument/2006/relationships/image" Target="media/image118.png"/><Relationship Id="rId127" Type="http://schemas.openxmlformats.org/officeDocument/2006/relationships/image" Target="media/image119.png"/><Relationship Id="rId128" Type="http://schemas.openxmlformats.org/officeDocument/2006/relationships/image" Target="media/image120.png"/><Relationship Id="rId129" Type="http://schemas.openxmlformats.org/officeDocument/2006/relationships/image" Target="media/image121.png"/><Relationship Id="rId130" Type="http://schemas.openxmlformats.org/officeDocument/2006/relationships/image" Target="media/image122.png"/><Relationship Id="rId110" Type="http://schemas.openxmlformats.org/officeDocument/2006/relationships/hyperlink" Target="https://www.sec.gov/Archives/edgar/data/1630627/000119312526079167/tmci-ex10_1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2026-05-08T06:13:26Z</dcterms:created>
  <dcterms:modified xsi:type="dcterms:W3CDTF">2026-05-08T06:13:26Z</dcterms:modified>
</cp:coreProperties>
</file>