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mci-20260508.htm"/>
      <w:bookmarkStart w:id="1" w:name="kstmci20260508"/>
      <w:bookmarkEnd w:id="0"/>
      <w:bookmarkEnd w:id="1"/>
      <w:r>
        <w:rPr>
          <w:rFonts w:ascii="Times New Roman" w:hAnsi="Times New Roman"/>
          <w:b/>
          <w:color w:val="000000"/>
          <w:sz w:val="20"/>
        </w:rPr>
        <w:t>As filed with the Securities and Exchange Commission on May 8,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S-8</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48"/>
        </w:rPr>
        <w:t>Treace Medical Concepts,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296" w:type="dxa"/>
        <w:jc w:val="left"/>
        <w:tblInd w:w="0" w:type="dxa"/>
        <w:tblLayout w:type="fixed"/>
        <w:tblCellMar>
          <w:top w:w="28" w:type="dxa"/>
          <w:left w:w="28" w:type="dxa"/>
          <w:bottom w:w="28" w:type="dxa"/>
          <w:right w:w="28" w:type="dxa"/>
        </w:tblCellMar>
      </w:tblPr>
      <w:tblGrid>
        <w:gridCol w:w="2371"/>
        <w:gridCol w:w="109"/>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47-1052611</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center"/>
        <w:rPr>
          <w:rFonts w:ascii="Times New Roman" w:hAnsi="Times New Roman"/>
          <w:b/>
          <w:color w:val="000000"/>
          <w:sz w:val="20"/>
        </w:rPr>
      </w:pPr>
      <w:r>
        <w:rPr>
          <w:rFonts w:ascii="Times New Roman" w:hAnsi="Times New Roman"/>
          <w:b/>
          <w:color w:val="000000"/>
          <w:sz w:val="20"/>
        </w:rPr>
        <w:t>100 Palmetto Park Place</w:t>
      </w:r>
    </w:p>
    <w:p>
      <w:pPr>
        <w:pStyle w:val="TextBody"/>
        <w:bidi w:val="0"/>
        <w:jc w:val="center"/>
        <w:rPr>
          <w:rFonts w:ascii="Times New Roman" w:hAnsi="Times New Roman"/>
          <w:sz w:val="20"/>
        </w:rPr>
      </w:pPr>
      <w:r>
        <w:rPr>
          <w:rFonts w:ascii="Times New Roman" w:hAnsi="Times New Roman"/>
          <w:b/>
          <w:color w:val="000000"/>
          <w:sz w:val="20"/>
        </w:rPr>
        <w:t>Ponte Vedra, Florida 32081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including zip code, of Principal Executive Offices)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2021 Incentive Award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2021 Employee Stock Purchase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Scot M. Elder</w:t>
      </w:r>
    </w:p>
    <w:p>
      <w:pPr>
        <w:pStyle w:val="TextBody"/>
        <w:bidi w:val="0"/>
        <w:jc w:val="center"/>
        <w:rPr>
          <w:rFonts w:ascii="Times New Roman" w:hAnsi="Times New Roman"/>
          <w:b/>
          <w:color w:val="000000"/>
          <w:sz w:val="20"/>
        </w:rPr>
      </w:pPr>
      <w:r>
        <w:rPr>
          <w:rFonts w:ascii="Times New Roman" w:hAnsi="Times New Roman"/>
          <w:b/>
          <w:color w:val="000000"/>
          <w:sz w:val="20"/>
        </w:rPr>
        <w:t>Chief Legal &amp; Compliance Officer and Corporate Secretary</w:t>
      </w:r>
    </w:p>
    <w:p>
      <w:pPr>
        <w:pStyle w:val="TextBody"/>
        <w:bidi w:val="0"/>
        <w:jc w:val="center"/>
        <w:rPr>
          <w:rFonts w:ascii="Times New Roman" w:hAnsi="Times New Roman"/>
          <w:b/>
          <w:color w:val="000000"/>
          <w:sz w:val="20"/>
        </w:rPr>
      </w:pPr>
      <w:r>
        <w:rPr>
          <w:rFonts w:ascii="Times New Roman" w:hAnsi="Times New Roman"/>
          <w:b/>
          <w:color w:val="000000"/>
          <w:sz w:val="20"/>
        </w:rPr>
        <w:t>Treace Medical Concepts, Inc.</w:t>
      </w:r>
    </w:p>
    <w:p>
      <w:pPr>
        <w:pStyle w:val="TextBody"/>
        <w:bidi w:val="0"/>
        <w:jc w:val="center"/>
        <w:rPr>
          <w:rFonts w:ascii="Times New Roman" w:hAnsi="Times New Roman"/>
          <w:b/>
          <w:color w:val="000000"/>
          <w:sz w:val="20"/>
        </w:rPr>
      </w:pPr>
      <w:r>
        <w:rPr>
          <w:rFonts w:ascii="Times New Roman" w:hAnsi="Times New Roman"/>
          <w:b/>
          <w:color w:val="000000"/>
          <w:sz w:val="20"/>
        </w:rPr>
        <w:t>100 Palmetto Park Place</w:t>
      </w:r>
    </w:p>
    <w:p>
      <w:pPr>
        <w:pStyle w:val="TextBody"/>
        <w:bidi w:val="0"/>
        <w:jc w:val="center"/>
        <w:rPr>
          <w:rFonts w:ascii="Times New Roman" w:hAnsi="Times New Roman"/>
          <w:sz w:val="20"/>
        </w:rPr>
      </w:pPr>
      <w:r>
        <w:rPr>
          <w:rFonts w:ascii="Times New Roman" w:hAnsi="Times New Roman"/>
          <w:b/>
          <w:color w:val="000000"/>
          <w:sz w:val="20"/>
        </w:rPr>
        <w:t>Ponte Vedra, Florida, 32801 (904) 373-5940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Cathy Birkeland</w:t>
            </w:r>
          </w:p>
          <w:p>
            <w:pPr>
              <w:pStyle w:val="TableContents"/>
              <w:bidi w:val="0"/>
              <w:jc w:val="center"/>
              <w:rPr>
                <w:rFonts w:ascii="Times New Roman" w:hAnsi="Times New Roman"/>
                <w:b/>
                <w:color w:val="000000"/>
                <w:sz w:val="20"/>
              </w:rPr>
            </w:pPr>
            <w:r>
              <w:rPr>
                <w:rFonts w:ascii="Times New Roman" w:hAnsi="Times New Roman"/>
                <w:b/>
                <w:color w:val="000000"/>
                <w:sz w:val="20"/>
              </w:rPr>
              <w:t>Scott Westhoff</w:t>
            </w:r>
          </w:p>
          <w:p>
            <w:pPr>
              <w:pStyle w:val="TableContents"/>
              <w:bidi w:val="0"/>
              <w:jc w:val="center"/>
              <w:rPr>
                <w:rFonts w:ascii="Times New Roman" w:hAnsi="Times New Roman"/>
                <w:b/>
                <w:color w:val="000000"/>
                <w:sz w:val="20"/>
              </w:rPr>
            </w:pPr>
            <w:r>
              <w:rPr>
                <w:rFonts w:ascii="Times New Roman" w:hAnsi="Times New Roman"/>
                <w:b/>
                <w:color w:val="000000"/>
                <w:sz w:val="20"/>
              </w:rPr>
              <w:t>Latham &amp; Watkins LLP</w:t>
            </w:r>
          </w:p>
          <w:p>
            <w:pPr>
              <w:pStyle w:val="TableContents"/>
              <w:bidi w:val="0"/>
              <w:jc w:val="center"/>
              <w:rPr>
                <w:rFonts w:ascii="Times New Roman" w:hAnsi="Times New Roman"/>
                <w:sz w:val="20"/>
              </w:rPr>
            </w:pPr>
            <w:r>
              <w:rPr>
                <w:rFonts w:ascii="Times New Roman" w:hAnsi="Times New Roman"/>
                <w:b/>
                <w:color w:val="000000"/>
                <w:sz w:val="20"/>
              </w:rPr>
              <w:t>330 North Wabash Ave, Suite 2800</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Chicago, IL 60611</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Telephone: (312) 876-7700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HorizontalLine"/>
        <w:pBdr>
          <w:bottom w:val="double" w:sz="2" w:space="0" w:color="808080"/>
        </w:pBdr>
        <w:bidi w:val="0"/>
        <w:spacing w:before="0" w:after="283"/>
        <w:jc w:val="left"/>
        <w:rPr/>
      </w:pPr>
      <w:r>
        <w:rPr/>
      </w:r>
    </w:p>
    <w:tbl>
      <w:tblPr>
        <w:tblW w:w="5793" w:type="dxa"/>
        <w:jc w:val="left"/>
        <w:tblInd w:w="0" w:type="dxa"/>
        <w:tblLayout w:type="fixed"/>
        <w:tblCellMar>
          <w:top w:w="28" w:type="dxa"/>
          <w:left w:w="28" w:type="dxa"/>
          <w:bottom w:w="28" w:type="dxa"/>
          <w:right w:w="28" w:type="dxa"/>
        </w:tblCellMar>
      </w:tblPr>
      <w:tblGrid>
        <w:gridCol w:w="2071"/>
        <w:gridCol w:w="146"/>
        <w:gridCol w:w="316"/>
        <w:gridCol w:w="146"/>
        <w:gridCol w:w="2461"/>
        <w:gridCol w:w="146"/>
        <w:gridCol w:w="31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left"/>
        <w:rPr>
          <w:rFonts w:ascii="Times New Roman" w:hAnsi="Times New Roman"/>
          <w:color w:val="000000"/>
          <w:sz w:val="20"/>
        </w:rPr>
      </w:pPr>
      <w:r>
        <w:rPr>
          <w:rFonts w:ascii="Times New Roman" w:hAnsi="Times New Roman"/>
          <w:color w:val="000000"/>
          <w:sz w:val="20"/>
        </w:rPr>
        <w:t xml:space="preserve">This Registration Statement on Form S-8 (this “Registration Statement”) is being filed with the Securities and Exchange Commission for the purpose of registering an additional 3,831,831 shares of common stock, par value $0.001 per share, of Treace Medical Concepts, Inc. (the “Registrant”) pursuant to the following employee benefit plans for which the Registration Statements of the Registrant on Form S-8 (File Nos. 333-255541, 333-263327, 333-270352, 333-279266, and 333-287119) are effective: (i) the 2021 Incentive Award Plan, as a result of the operation of an automatic annual increase provision therein, which added 3,193,193 shares of common stock, and (ii) the 2021 Employee Stock Purchase Plan, as a result of the operation of an automatic annual increase provision therein, which added 638,638 shares of common stock.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INCORPORATION BY REFERENCE OF CONTENTS OF REGISTRATION STATEMENT ON FORM S-8</w:t>
      </w:r>
    </w:p>
    <w:p>
      <w:pPr>
        <w:pStyle w:val="TextBody"/>
        <w:bidi w:val="0"/>
        <w:spacing w:before="240" w:after="283"/>
        <w:jc w:val="left"/>
        <w:rPr/>
      </w:pPr>
      <w:r>
        <w:rPr>
          <w:rFonts w:ascii="Times New Roman" w:hAnsi="Times New Roman"/>
          <w:color w:val="000000"/>
          <w:sz w:val="20"/>
        </w:rPr>
        <w:t>Pursuant to General Instruction E of Form S-8, the contents of the above referenced Registration Statements on Form S-8 filed with the Securities and Exchange Commission on April 27, 2021 (</w:t>
      </w:r>
      <w:hyperlink r:id="rId2">
        <w:r>
          <w:rPr>
            <w:rStyle w:val="InternetLink"/>
            <w:rFonts w:ascii="Times New Roman" w:hAnsi="Times New Roman"/>
            <w:color w:val="0000EE"/>
            <w:sz w:val="20"/>
            <w:u w:val="single"/>
          </w:rPr>
          <w:t>File No. 333-255541</w:t>
        </w:r>
      </w:hyperlink>
      <w:r>
        <w:rPr>
          <w:rFonts w:ascii="Times New Roman" w:hAnsi="Times New Roman"/>
          <w:color w:val="000000"/>
          <w:sz w:val="20"/>
        </w:rPr>
        <w:t>), March 4, 2022 (</w:t>
      </w:r>
      <w:hyperlink r:id="rId3">
        <w:r>
          <w:rPr>
            <w:rStyle w:val="InternetLink"/>
            <w:rFonts w:ascii="Times New Roman" w:hAnsi="Times New Roman"/>
            <w:color w:val="0000FF"/>
            <w:sz w:val="20"/>
            <w:u w:val="single"/>
          </w:rPr>
          <w:t>File No. 333-263327</w:t>
        </w:r>
      </w:hyperlink>
      <w:r>
        <w:rPr>
          <w:rFonts w:ascii="Times New Roman" w:hAnsi="Times New Roman"/>
          <w:color w:val="000000"/>
          <w:sz w:val="20"/>
        </w:rPr>
        <w:t>), March 8, 2023 (</w:t>
      </w:r>
      <w:hyperlink r:id="rId4">
        <w:r>
          <w:rPr>
            <w:rStyle w:val="InternetLink"/>
            <w:rFonts w:ascii="Times New Roman" w:hAnsi="Times New Roman"/>
            <w:color w:val="0000FF"/>
            <w:sz w:val="20"/>
            <w:u w:val="single"/>
          </w:rPr>
          <w:t>File No. 333-270352</w:t>
        </w:r>
      </w:hyperlink>
      <w:r>
        <w:rPr>
          <w:rFonts w:ascii="Times New Roman" w:hAnsi="Times New Roman"/>
          <w:color w:val="000000"/>
          <w:sz w:val="20"/>
        </w:rPr>
        <w:t>), May 9, 2024 (</w:t>
      </w:r>
      <w:hyperlink r:id="rId5">
        <w:r>
          <w:rPr>
            <w:rStyle w:val="InternetLink"/>
            <w:rFonts w:ascii="Times New Roman" w:hAnsi="Times New Roman"/>
            <w:color w:val="0000FF"/>
            <w:sz w:val="20"/>
            <w:u w:val="single"/>
          </w:rPr>
          <w:t>File No. 333-279266</w:t>
        </w:r>
      </w:hyperlink>
      <w:r>
        <w:rPr>
          <w:rFonts w:ascii="Times New Roman" w:hAnsi="Times New Roman"/>
          <w:color w:val="000000"/>
          <w:sz w:val="20"/>
        </w:rPr>
        <w:t>) and May 9, 2025 (</w:t>
      </w:r>
      <w:hyperlink r:id="rId6">
        <w:r>
          <w:rPr>
            <w:rStyle w:val="InternetLink"/>
            <w:rFonts w:ascii="Times New Roman" w:hAnsi="Times New Roman"/>
            <w:color w:val="0000FF"/>
            <w:sz w:val="20"/>
            <w:u w:val="single"/>
          </w:rPr>
          <w:t>File No. 333-287119</w:t>
        </w:r>
      </w:hyperlink>
      <w:r>
        <w:rPr>
          <w:rFonts w:ascii="Times New Roman" w:hAnsi="Times New Roman"/>
          <w:color w:val="000000"/>
          <w:sz w:val="20"/>
        </w:rPr>
        <w:t xml:space="preserve">) are incorporated into this Registration Statement by reference to the extent not modified or superseded hereby or by any subsequently filed document, which is incorporated by reference herein or therein.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6"/>
        <w:gridCol w:w="146"/>
        <w:gridCol w:w="5684"/>
        <w:gridCol w:w="146"/>
        <w:gridCol w:w="538"/>
        <w:gridCol w:w="146"/>
        <w:gridCol w:w="631"/>
        <w:gridCol w:w="146"/>
        <w:gridCol w:w="146"/>
        <w:gridCol w:w="796"/>
        <w:gridCol w:w="146"/>
        <w:gridCol w:w="146"/>
        <w:gridCol w:w="828"/>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Exhibit </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EE"/>
                  <w:sz w:val="18"/>
                  <w:u w:val="single"/>
                </w:rPr>
                <w:t>Amended and Restated Certificate of Incorporation of Treace Medical Concepts,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4/27/2021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EE"/>
                  <w:sz w:val="18"/>
                  <w:u w:val="single"/>
                </w:rPr>
                <w:t>Amended and Restated Bylaws of the Treace Medical Concepts,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4/27/2021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EE"/>
                  <w:sz w:val="18"/>
                  <w:u w:val="single"/>
                </w:rPr>
                <w:t>Form of Common Stock Certificate</w:t>
              </w:r>
            </w:hyperlink>
            <w:hyperlink r:id="rId10">
              <w:r>
                <w:rPr>
                  <w:rStyle w:val="InternetLink"/>
                  <w:rFonts w:ascii="Times New Roman" w:hAnsi="Times New Roman"/>
                  <w:color w:val="0000EE"/>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4/19/2021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w:anchor="tmci-ex5_1.htm">
              <w:r>
                <w:rPr>
                  <w:rStyle w:val="InternetLink"/>
                  <w:rFonts w:ascii="Times New Roman" w:hAnsi="Times New Roman"/>
                  <w:color w:val="0000FF"/>
                  <w:sz w:val="18"/>
                  <w:u w:val="single"/>
                </w:rPr>
                <w:t>Opinion of Latham &amp; Watkins LLP</w:t>
              </w:r>
            </w:hyperlink>
            <w:hyperlink w:anchor="tmci-ex5_1.htm">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w:anchor="tmci-ex5_1.htm">
              <w:r>
                <w:rPr>
                  <w:rStyle w:val="InternetLink"/>
                  <w:rFonts w:ascii="Times New Roman" w:hAnsi="Times New Roman"/>
                  <w:color w:val="0000FF"/>
                  <w:sz w:val="18"/>
                  <w:u w:val="single"/>
                </w:rPr>
                <w:t>Consent of Latham &amp; Watkins LLP (included in Exhibit 5.1)</w:t>
              </w:r>
            </w:hyperlink>
            <w:r>
              <w:rPr>
                <w:rFonts w:ascii="Times New Roman" w:hAnsi="Times New Roman"/>
                <w:color w:val="0000EE"/>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w:anchor="tmci-ex23_2.htm">
              <w:r>
                <w:rPr>
                  <w:rStyle w:val="InternetLink"/>
                  <w:rFonts w:ascii="Times New Roman" w:hAnsi="Times New Roman"/>
                  <w:color w:val="0000FF"/>
                  <w:sz w:val="18"/>
                  <w:u w:val="single"/>
                </w:rPr>
                <w:t>Consent of Independent Registered Public Accounting Firm</w:t>
              </w:r>
            </w:hyperlink>
            <w:hyperlink w:anchor="tmci-ex23_2.htm">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w:anchor="sig">
              <w:r>
                <w:rPr>
                  <w:rStyle w:val="InternetLink"/>
                  <w:rFonts w:ascii="Times New Roman" w:hAnsi="Times New Roman"/>
                  <w:color w:val="0000EE"/>
                  <w:sz w:val="18"/>
                  <w:u w:val="single"/>
                </w:rPr>
                <w:t>Power of Attorney (included on the signature page to this Registration Statement)</w:t>
              </w:r>
            </w:hyperlink>
            <w:hyperlink w:anchor="sig">
              <w:r>
                <w:rPr>
                  <w:rStyle w:val="InternetLink"/>
                  <w:rFonts w:ascii="Times New Roman" w:hAnsi="Times New Roman"/>
                  <w:color w:val="0000EE"/>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EE"/>
                  <w:sz w:val="18"/>
                  <w:u w:val="single"/>
                </w:rPr>
                <w:t>2021 Incentive Award Plan and related form agreements</w:t>
              </w:r>
            </w:hyperlink>
            <w:hyperlink r:id="rId12">
              <w:r>
                <w:rPr>
                  <w:rStyle w:val="InternetLink"/>
                  <w:rFonts w:ascii="Times New Roman" w:hAnsi="Times New Roman"/>
                  <w:color w:val="0000EE"/>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4/27/2021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EE"/>
                  <w:sz w:val="18"/>
                  <w:u w:val="single"/>
                </w:rPr>
                <w:t>2021 Employee Stock Purchase Plan</w:t>
              </w:r>
            </w:hyperlink>
            <w:hyperlink r:id="rId14">
              <w:r>
                <w:rPr>
                  <w:rStyle w:val="InternetLink"/>
                  <w:rFonts w:ascii="Times New Roman" w:hAnsi="Times New Roman"/>
                  <w:color w:val="0000EE"/>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4/27/2021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107.1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tcBorders/>
            <w:tcMar>
              <w:top w:w="0" w:type="dxa"/>
              <w:left w:w="0" w:type="dxa"/>
              <w:bottom w:w="0" w:type="dxa"/>
              <w:right w:w="0" w:type="dxa"/>
            </w:tcMar>
            <w:vAlign w:val="center"/>
          </w:tcPr>
          <w:p>
            <w:pPr>
              <w:pStyle w:val="TableContents"/>
              <w:bidi w:val="0"/>
              <w:spacing w:before="0" w:after="283"/>
              <w:jc w:val="left"/>
              <w:rPr/>
            </w:pPr>
            <w:hyperlink w:anchor="tmci_exfilingfees.htm">
              <w:r>
                <w:rPr>
                  <w:rStyle w:val="InternetLink"/>
                  <w:rFonts w:ascii="Times New Roman" w:hAnsi="Times New Roman"/>
                  <w:color w:val="0000FF"/>
                  <w:sz w:val="18"/>
                  <w:u w:val="single"/>
                </w:rPr>
                <w:t>Filing Fee Table</w:t>
              </w:r>
            </w:hyperlink>
            <w:hyperlink w:anchor="tmci_exfilingfees.htm">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sig"/>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Ponte Vedra, State of Florida, on this 8</w:t>
      </w:r>
      <w:r>
        <w:rPr>
          <w:rFonts w:ascii="Times New Roman" w:hAnsi="Times New Roman"/>
          <w:color w:val="000000"/>
          <w:sz w:val="13"/>
        </w:rPr>
        <w:t>th</w:t>
      </w:r>
      <w:r>
        <w:rPr>
          <w:rFonts w:ascii="Times New Roman" w:hAnsi="Times New Roman"/>
          <w:color w:val="000000"/>
          <w:sz w:val="20"/>
        </w:rPr>
        <w:t xml:space="preserve"> day of May,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Treace Medical Concepts,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John T. Treace</w:t>
      </w:r>
    </w:p>
    <w:p>
      <w:pPr>
        <w:pStyle w:val="TextBody"/>
        <w:bidi w:val="0"/>
        <w:jc w:val="left"/>
        <w:rPr>
          <w:rFonts w:ascii="Times New Roman" w:hAnsi="Times New Roman"/>
          <w:color w:val="000000"/>
          <w:sz w:val="20"/>
        </w:rPr>
      </w:pPr>
      <w:r>
        <w:rPr>
          <w:rFonts w:ascii="Times New Roman" w:hAnsi="Times New Roman"/>
          <w:color w:val="000000"/>
          <w:sz w:val="20"/>
        </w:rPr>
        <w:t>John T. Treace</w:t>
      </w:r>
    </w:p>
    <w:p>
      <w:pPr>
        <w:pStyle w:val="TextBody"/>
        <w:bidi w:val="0"/>
        <w:jc w:val="left"/>
        <w:rPr>
          <w:rFonts w:ascii="Times New Roman" w:hAnsi="Times New Roman"/>
          <w:i/>
          <w:color w:val="000000"/>
          <w:sz w:val="20"/>
        </w:rPr>
      </w:pPr>
      <w:r>
        <w:rPr>
          <w:rFonts w:ascii="Times New Roman" w:hAnsi="Times New Roman"/>
          <w:i/>
          <w:color w:val="000000"/>
          <w:sz w:val="20"/>
        </w:rPr>
        <w:t>Chief Executive Officer</w:t>
      </w:r>
    </w:p>
    <w:p>
      <w:pPr>
        <w:pStyle w:val="TextBody"/>
        <w:bidi w:val="0"/>
        <w:spacing w:before="48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hereby constitutes and appoints John T. Treace, Mark L. Hair and Scot M. Elder, and each of them acting individually, as his or her true and lawful attorneys-in-fact and agents, each with full power of substitution, for him or her in their name, place or stead, in any and all capacities, to sign any and all amendments to this Registration Statement, including post-effective amendments or any abbreviated registration statement and any amendments thereto filed,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 indicated. </w:t>
      </w:r>
    </w:p>
    <w:tbl>
      <w:tblPr>
        <w:tblW w:w="10205" w:type="dxa"/>
        <w:jc w:val="left"/>
        <w:tblInd w:w="0" w:type="dxa"/>
        <w:tblLayout w:type="fixed"/>
        <w:tblCellMar>
          <w:top w:w="28" w:type="dxa"/>
          <w:left w:w="28" w:type="dxa"/>
          <w:bottom w:w="28" w:type="dxa"/>
          <w:right w:w="28" w:type="dxa"/>
        </w:tblCellMar>
      </w:tblPr>
      <w:tblGrid>
        <w:gridCol w:w="2063"/>
        <w:gridCol w:w="386"/>
        <w:gridCol w:w="6504"/>
        <w:gridCol w:w="146"/>
        <w:gridCol w:w="1106"/>
      </w:tblGrid>
      <w:tr>
        <w:trPr/>
        <w:tc>
          <w:tcPr>
            <w:tcW w:w="20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SIGNATURE</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04"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DATE</w:t>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 xml:space="preserve">/s/ John T. Treace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John T. Treace</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5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 Chair of the Board and Founder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Mark L. Hair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Mark L. Hair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504"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John K. Bakewell</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John K. Bakewell</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5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Lance A. Berry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Lance A. Berry</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5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Lawrence W. Hamilton</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Lawrence W. Hamilton</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5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Elizabeth S. Hanna</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Elizabeth S. Hanna</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5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20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4345" w:type="dxa"/>
        <w:jc w:val="left"/>
        <w:tblInd w:w="0" w:type="dxa"/>
        <w:tblLayout w:type="fixed"/>
        <w:tblCellMar>
          <w:top w:w="28" w:type="dxa"/>
          <w:left w:w="28" w:type="dxa"/>
          <w:bottom w:w="28" w:type="dxa"/>
          <w:right w:w="28" w:type="dxa"/>
        </w:tblCellMar>
      </w:tblPr>
      <w:tblGrid>
        <w:gridCol w:w="1621"/>
        <w:gridCol w:w="386"/>
        <w:gridCol w:w="1006"/>
        <w:gridCol w:w="146"/>
        <w:gridCol w:w="1186"/>
      </w:tblGrid>
      <w:tr>
        <w:trPr/>
        <w:tc>
          <w:tcPr>
            <w:tcW w:w="16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Deepti Jain</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Deepti Jain</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Jane E. Kiernan</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Jane E. Kiernan</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2026</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tmci-ex5_1.htm"/>
      <w:bookmarkStart w:id="4" w:name="kstmciex5_1"/>
      <w:bookmarkEnd w:id="3"/>
      <w:bookmarkEnd w:id="4"/>
      <w:r>
        <w:rPr>
          <w:rFonts w:ascii="Times New Roman" w:hAnsi="Times New Roman"/>
          <w:b/>
          <w:color w:val="000000"/>
          <w:sz w:val="20"/>
        </w:rPr>
        <w:t>Exhibit 5.1</w:t>
      </w:r>
      <w:r>
        <w:br w:type="page"/>
      </w:r>
    </w:p>
    <w:tbl>
      <w:tblPr>
        <w:tblW w:w="3825" w:type="dxa"/>
        <w:jc w:val="left"/>
        <w:tblInd w:w="0" w:type="dxa"/>
        <w:tblLayout w:type="fixed"/>
        <w:tblCellMar>
          <w:top w:w="28" w:type="dxa"/>
          <w:left w:w="28" w:type="dxa"/>
          <w:bottom w:w="28" w:type="dxa"/>
          <w:right w:w="28" w:type="dxa"/>
        </w:tblCellMar>
      </w:tblPr>
      <w:tblGrid>
        <w:gridCol w:w="1534"/>
        <w:gridCol w:w="2291"/>
      </w:tblGrid>
      <w:tr>
        <w:trPr/>
        <w:tc>
          <w:tcPr>
            <w:tcW w:w="1534"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r>
      <w:tr>
        <w:trPr/>
        <w:tc>
          <w:tcPr>
            <w:tcW w:w="3825"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330 North Wabash Avenue</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Suite 2800</w:t>
            </w:r>
          </w:p>
        </w:tc>
        <w:tc>
          <w:tcPr>
            <w:tcW w:w="2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Chicago, Illinois 606011</w:t>
            </w:r>
          </w:p>
        </w:tc>
      </w:tr>
      <w:tr>
        <w:trPr/>
        <w:tc>
          <w:tcPr>
            <w:tcW w:w="3825"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Tel: +1.312.876.7700 Fax: +1.312.993.9767</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www.lw.com</w:t>
            </w:r>
          </w:p>
        </w:tc>
        <w:tc>
          <w:tcPr>
            <w:tcW w:w="2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2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FIRM/AFFILIATE OFFICES</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Austin</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Milan</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Beijing</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Munich</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Boston</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New York</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Brussels</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Orange County</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Chicago</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Paris</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Dubai</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Riyadh</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Dusseldorf</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San Diego</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Frankfurt</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San Francisco</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Hamburg</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Seoul</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Hong Kong</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Silicon Valley</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Houston</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Singapore</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London</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Tel Aviv</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 Angeles</w:t>
            </w:r>
          </w:p>
        </w:tc>
        <w:tc>
          <w:tcPr>
            <w:tcW w:w="22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Tokyo</w:t>
            </w:r>
          </w:p>
        </w:tc>
      </w:tr>
      <w:tr>
        <w:trPr/>
        <w:tc>
          <w:tcPr>
            <w:tcW w:w="15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Madrid</w:t>
            </w:r>
          </w:p>
        </w:tc>
        <w:tc>
          <w:tcPr>
            <w:tcW w:w="2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Washington, D.C.</w:t>
            </w:r>
            <w:r>
              <w:rPr>
                <w:rFonts w:ascii="Times New Roman" w:hAnsi="Times New Roman"/>
                <w:color w:val="000000"/>
                <w:sz w:val="18"/>
              </w:rPr>
              <w:t xml:space="preserve"> </w:t>
            </w:r>
          </w:p>
        </w:tc>
      </w:tr>
    </w:tbl>
    <w:p>
      <w:pPr>
        <w:pStyle w:val="TextBody"/>
        <w:bidi w:val="0"/>
        <w:jc w:val="left"/>
        <w:rPr/>
      </w:pPr>
      <w:r>
        <w:rPr/>
        <w:drawing>
          <wp:inline distT="0" distB="0" distL="0" distR="0">
            <wp:extent cx="2790825"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2790825" cy="1809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May 8,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Treace Medical Concepts, Inc.</w:t>
      </w:r>
    </w:p>
    <w:p>
      <w:pPr>
        <w:pStyle w:val="TextBody"/>
        <w:bidi w:val="0"/>
        <w:jc w:val="left"/>
        <w:rPr>
          <w:rFonts w:ascii="Times New Roman" w:hAnsi="Times New Roman"/>
          <w:sz w:val="20"/>
        </w:rPr>
      </w:pPr>
      <w:r>
        <w:rPr>
          <w:rFonts w:ascii="Times New Roman" w:hAnsi="Times New Roman"/>
          <w:color w:val="000000"/>
          <w:sz w:val="24"/>
        </w:rPr>
        <w:t>100 Palmetto Park Place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Ponte Vedra, Florida, 32801</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Registration Statement on Form S-8; 3,831,831 shares of Common Stock, par value $0.001 per share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addressee set forth above:</w:t>
      </w:r>
    </w:p>
    <w:p>
      <w:pPr>
        <w:pStyle w:val="TextBody"/>
        <w:bidi w:val="0"/>
        <w:spacing w:before="0" w:after="240"/>
        <w:jc w:val="both"/>
        <w:rPr>
          <w:rFonts w:ascii="Times New Roman" w:hAnsi="Times New Roman"/>
          <w:sz w:val="20"/>
        </w:rPr>
      </w:pPr>
      <w:r>
        <w:rPr>
          <w:rFonts w:ascii="Times New Roman" w:hAnsi="Times New Roman"/>
          <w:color w:val="000000"/>
          <w:sz w:val="24"/>
        </w:rPr>
        <w:t>We have acted as special counsel to Treace Medical Concepts,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in connection with the registration by the Company of 3,831,831</w:t>
      </w:r>
      <w:r>
        <w:rPr>
          <w:rFonts w:ascii="Times New Roman" w:hAnsi="Times New Roman"/>
          <w:color w:val="000000"/>
          <w:sz w:val="20"/>
          <w:u w:val="single"/>
        </w:rPr>
        <w:t xml:space="preserve"> </w:t>
      </w:r>
      <w:r>
        <w:rPr>
          <w:rFonts w:ascii="Times New Roman" w:hAnsi="Times New Roman"/>
          <w:color w:val="000000"/>
          <w:sz w:val="24"/>
        </w:rPr>
        <w:t>shares of common stock of the Company,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issuable under the Company’s 2021 Incentive Award Plan (the “</w:t>
      </w:r>
      <w:r>
        <w:rPr>
          <w:rFonts w:ascii="Times New Roman" w:hAnsi="Times New Roman"/>
          <w:b/>
          <w:i/>
          <w:color w:val="000000"/>
          <w:sz w:val="24"/>
        </w:rPr>
        <w:t>2021 Plan</w:t>
      </w:r>
      <w:r>
        <w:rPr>
          <w:rFonts w:ascii="Times New Roman" w:hAnsi="Times New Roman"/>
          <w:color w:val="000000"/>
          <w:sz w:val="20"/>
        </w:rPr>
        <w:t>”</w:t>
      </w:r>
      <w:r>
        <w:rPr>
          <w:rFonts w:ascii="Times New Roman" w:hAnsi="Times New Roman"/>
          <w:color w:val="000000"/>
          <w:sz w:val="24"/>
        </w:rPr>
        <w:t>) and the 2021 Employee Stock Purchase Plan (the “</w:t>
      </w:r>
      <w:r>
        <w:rPr>
          <w:rFonts w:ascii="Times New Roman" w:hAnsi="Times New Roman"/>
          <w:b/>
          <w:i/>
          <w:color w:val="000000"/>
          <w:sz w:val="24"/>
        </w:rPr>
        <w:t>ESPP</w:t>
      </w:r>
      <w:r>
        <w:rPr>
          <w:rFonts w:ascii="Times New Roman" w:hAnsi="Times New Roman"/>
          <w:color w:val="000000"/>
          <w:sz w:val="24"/>
        </w:rPr>
        <w:t>,” and together with the 2021 Plan, the “</w:t>
      </w:r>
      <w:r>
        <w:rPr>
          <w:rFonts w:ascii="Times New Roman" w:hAnsi="Times New Roman"/>
          <w:b/>
          <w:i/>
          <w:color w:val="000000"/>
          <w:sz w:val="24"/>
        </w:rPr>
        <w:t>Plans</w:t>
      </w:r>
      <w:r>
        <w:rPr>
          <w:rFonts w:ascii="Times New Roman" w:hAnsi="Times New Roman"/>
          <w:color w:val="000000"/>
          <w:sz w:val="20"/>
        </w:rPr>
        <w:t>”</w:t>
      </w:r>
      <w:r>
        <w:rPr>
          <w:rFonts w:ascii="Times New Roman" w:hAnsi="Times New Roman"/>
          <w:color w:val="000000"/>
          <w:sz w:val="24"/>
        </w:rPr>
        <w:t>). The Shares are included in a registration statement on Form S-8 under the Securities Act of 1933, as amended (the “</w:t>
      </w:r>
      <w:r>
        <w:rPr>
          <w:rFonts w:ascii="Times New Roman" w:hAnsi="Times New Roman"/>
          <w:b/>
          <w:i/>
          <w:color w:val="000000"/>
          <w:sz w:val="24"/>
        </w:rPr>
        <w:t>Act</w:t>
      </w:r>
      <w:r>
        <w:rPr>
          <w:rFonts w:ascii="Times New Roman" w:hAnsi="Times New Roman"/>
          <w:color w:val="000000"/>
          <w:sz w:val="20"/>
        </w:rPr>
        <w:t>”</w:t>
      </w:r>
      <w:r>
        <w:rPr>
          <w:rFonts w:ascii="Times New Roman" w:hAnsi="Times New Roman"/>
          <w:color w:val="000000"/>
          <w:sz w:val="24"/>
        </w:rPr>
        <w:t>), filed with the Securities and Exchange Commission (the “</w:t>
      </w:r>
      <w:r>
        <w:rPr>
          <w:rFonts w:ascii="Times New Roman" w:hAnsi="Times New Roman"/>
          <w:b/>
          <w:i/>
          <w:color w:val="000000"/>
          <w:sz w:val="24"/>
        </w:rPr>
        <w:t>Commission</w:t>
      </w:r>
      <w:r>
        <w:rPr>
          <w:rFonts w:ascii="Times New Roman" w:hAnsi="Times New Roman"/>
          <w:color w:val="000000"/>
          <w:sz w:val="20"/>
        </w:rPr>
        <w:t>”</w:t>
      </w:r>
      <w:r>
        <w:rPr>
          <w:rFonts w:ascii="Times New Roman" w:hAnsi="Times New Roman"/>
          <w:color w:val="000000"/>
          <w:sz w:val="24"/>
        </w:rPr>
        <w:t>) on May 8, 2026 (the “</w:t>
      </w:r>
      <w:r>
        <w:rPr>
          <w:rFonts w:ascii="Times New Roman" w:hAnsi="Times New Roman"/>
          <w:b/>
          <w:i/>
          <w:color w:val="000000"/>
          <w:sz w:val="24"/>
        </w:rPr>
        <w:t>Registration Statement</w:t>
      </w:r>
      <w:r>
        <w:rPr>
          <w:rFonts w:ascii="Times New Roman" w:hAnsi="Times New Roman"/>
          <w:color w:val="000000"/>
          <w:sz w:val="20"/>
        </w:rPr>
        <w:t>”</w:t>
      </w:r>
      <w:r>
        <w:rPr>
          <w:rFonts w:ascii="Times New Roman" w:hAnsi="Times New Roman"/>
          <w:color w:val="000000"/>
          <w:sz w:val="24"/>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pStyle w:val="TextBody"/>
        <w:bidi w:val="0"/>
        <w:spacing w:before="0" w:after="240"/>
        <w:jc w:val="both"/>
        <w:rPr>
          <w:rFonts w:ascii="Times New Roman" w:hAnsi="Times New Roman"/>
          <w:sz w:val="20"/>
        </w:rPr>
      </w:pPr>
      <w:r>
        <w:rPr>
          <w:rFonts w:ascii="Times New Roman" w:hAnsi="Times New Roman"/>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w:t>
      </w:r>
      <w:r>
        <w:rPr>
          <w:rFonts w:ascii="Times New Roman" w:hAnsi="Times New Roman"/>
          <w:color w:val="000000"/>
          <w:sz w:val="20"/>
        </w:rPr>
        <w:t xml:space="preserve"> </w:t>
      </w:r>
    </w:p>
    <w:p>
      <w:pPr>
        <w:pStyle w:val="TextBody"/>
        <w:bidi w:val="0"/>
        <w:spacing w:before="180" w:after="12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US-DOCS\171404584.1</w:t>
      </w:r>
    </w:p>
    <w:p>
      <w:pPr>
        <w:pStyle w:val="HorizontalLine"/>
        <w:pBdr>
          <w:bottom w:val="double" w:sz="2" w:space="0" w:color="808080"/>
        </w:pBdr>
        <w:bidi w:val="0"/>
        <w:spacing w:before="0" w:after="283"/>
        <w:jc w:val="left"/>
        <w:rPr/>
      </w:pPr>
      <w:r>
        <w:rPr/>
      </w:r>
    </w:p>
    <w:tbl>
      <w:tblPr>
        <w:tblW w:w="931" w:type="dxa"/>
        <w:jc w:val="left"/>
        <w:tblInd w:w="0" w:type="dxa"/>
        <w:tblLayout w:type="fixed"/>
        <w:tblCellMar>
          <w:top w:w="28" w:type="dxa"/>
          <w:left w:w="28" w:type="dxa"/>
          <w:bottom w:w="28" w:type="dxa"/>
          <w:right w:w="28" w:type="dxa"/>
        </w:tblCellMar>
      </w:tblPr>
      <w:tblGrid>
        <w:gridCol w:w="931"/>
      </w:tblGrid>
      <w:tr>
        <w:trPr/>
        <w:tc>
          <w:tcPr>
            <w:tcW w:w="93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jc w:val="left"/>
              <w:rPr>
                <w:rFonts w:ascii="Arial" w:hAnsi="Arial"/>
                <w:b/>
                <w:color w:val="000000"/>
                <w:sz w:val="14"/>
              </w:rPr>
            </w:pPr>
            <w:r>
              <w:rPr>
                <w:rFonts w:ascii="Arial" w:hAnsi="Arial"/>
                <w:b/>
                <w:color w:val="000000"/>
                <w:sz w:val="14"/>
              </w:rPr>
              <w:t>May 8, 2026</w:t>
            </w:r>
          </w:p>
          <w:p>
            <w:pPr>
              <w:pStyle w:val="TableContents"/>
              <w:bidi w:val="0"/>
              <w:spacing w:before="0" w:after="283"/>
              <w:jc w:val="left"/>
              <w:rPr>
                <w:rFonts w:ascii="Arial" w:hAnsi="Arial"/>
                <w:b/>
                <w:color w:val="000000"/>
                <w:sz w:val="14"/>
              </w:rPr>
            </w:pPr>
            <w:r>
              <w:rPr>
                <w:rFonts w:ascii="Arial" w:hAnsi="Arial"/>
                <w:b/>
                <w:color w:val="000000"/>
                <w:sz w:val="14"/>
              </w:rPr>
              <w:t>Page 2</w:t>
            </w:r>
          </w:p>
        </w:tc>
      </w:tr>
    </w:tbl>
    <w:p>
      <w:pPr>
        <w:pStyle w:val="TextBody"/>
        <w:bidi w:val="0"/>
        <w:spacing w:before="113" w:after="360"/>
        <w:jc w:val="left"/>
        <w:rPr/>
      </w:pPr>
      <w:r>
        <w:rPr/>
        <w:drawing>
          <wp:inline distT="0" distB="0" distL="0" distR="0">
            <wp:extent cx="1543050"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543050" cy="104775"/>
                    </a:xfrm>
                    <a:prstGeom prst="rect">
                      <a:avLst/>
                    </a:prstGeom>
                  </pic:spPr>
                </pic:pic>
              </a:graphicData>
            </a:graphic>
          </wp:inline>
        </w:drawing>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having independently verified such factual matters. We are opining herein as to the General Corporation Law of the State of Delaware, and we express no opinion with respect to any other laws.</w:t>
      </w:r>
    </w:p>
    <w:p>
      <w:pPr>
        <w:pStyle w:val="TextBody"/>
        <w:bidi w:val="0"/>
        <w:spacing w:before="0" w:after="240"/>
        <w:jc w:val="both"/>
        <w:rPr>
          <w:rFonts w:ascii="Times New Roman" w:hAnsi="Times New Roman"/>
          <w:sz w:val="20"/>
        </w:rPr>
      </w:pPr>
      <w:r>
        <w:rPr>
          <w:rFonts w:ascii="Times New Roman" w:hAnsi="Times New Roman"/>
          <w:color w:val="000000"/>
          <w:sz w:val="24"/>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jc w:val="left"/>
        <w:rPr>
          <w:rFonts w:ascii="Times New Roman" w:hAnsi="Times New Roman"/>
          <w:sz w:val="20"/>
        </w:rPr>
      </w:pPr>
      <w:r>
        <w:rPr>
          <w:rFonts w:ascii="Times New Roman" w:hAnsi="Times New Roman"/>
          <w:color w:val="000000"/>
          <w:sz w:val="24"/>
        </w:rPr>
        <w:t xml:space="preserve">Sincerely, </w:t>
        <w:br/>
      </w:r>
      <w:r>
        <w:rPr>
          <w:rFonts w:ascii="Times New Roman" w:hAnsi="Times New Roman"/>
          <w:color w:val="000000"/>
          <w:sz w:val="20"/>
        </w:rPr>
        <w:t> </w:t>
      </w:r>
    </w:p>
    <w:p>
      <w:pPr>
        <w:pStyle w:val="TextBody"/>
        <w:bidi w:val="0"/>
        <w:jc w:val="left"/>
        <w:rPr>
          <w:rFonts w:ascii="Times New Roman" w:hAnsi="Times New Roman"/>
          <w:color w:val="000000"/>
          <w:sz w:val="24"/>
        </w:rPr>
      </w:pPr>
      <w:r>
        <w:rPr>
          <w:rFonts w:ascii="Times New Roman" w:hAnsi="Times New Roman"/>
          <w:color w:val="000000"/>
          <w:sz w:val="24"/>
        </w:rPr>
        <w:t>/s/ Latham &amp; Watkins LLP</w:t>
      </w:r>
    </w:p>
    <w:p>
      <w:pPr>
        <w:pStyle w:val="TextBody"/>
        <w:bidi w:val="0"/>
        <w:spacing w:before="180" w:after="283"/>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US-DOCS\171404584.1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tmci-ex23_2.htm"/>
      <w:bookmarkStart w:id="6" w:name="kstmciex23_2"/>
      <w:bookmarkEnd w:id="5"/>
      <w:bookmarkEnd w:id="6"/>
      <w:r>
        <w:rPr>
          <w:rFonts w:ascii="Times New Roman" w:hAnsi="Times New Roman"/>
          <w:b/>
          <w:color w:val="000000"/>
          <w:sz w:val="20"/>
        </w:rPr>
        <w:t>Exhibit 23.2</w:t>
      </w:r>
      <w:r>
        <w:br w:type="page"/>
      </w:r>
    </w:p>
    <w:p>
      <w:pPr>
        <w:pStyle w:val="TextBody"/>
        <w:bidi w:val="0"/>
        <w:spacing w:before="0" w:after="12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Arial" w:hAnsi="Arial"/>
          <w:color w:val="000000"/>
          <w:sz w:val="20"/>
        </w:rPr>
        <w:t>We have issued our reports dated February 27, 2026, with respect to the financial statements and internal control over financial reporting of Treace Medical Concepts, Inc. included in the Annual Report on Form 10-K for the year ended December 31, 2025, which are incorporated by reference in this Registration Statement. We consent to the incorporation by reference of the aforementioned reports in this Registration Statement.</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jc w:val="left"/>
        <w:rPr>
          <w:rFonts w:ascii="Arial" w:hAnsi="Arial"/>
          <w:color w:val="000000"/>
          <w:sz w:val="20"/>
        </w:rPr>
      </w:pPr>
      <w:r>
        <w:rPr>
          <w:rFonts w:ascii="Arial" w:hAnsi="Arial"/>
          <w:color w:val="000000"/>
          <w:sz w:val="20"/>
        </w:rPr>
        <w:t>/s/ GRANT THORNTON LLP</w:t>
      </w:r>
    </w:p>
    <w:p>
      <w:pPr>
        <w:pStyle w:val="TextBody"/>
        <w:bidi w:val="0"/>
        <w:jc w:val="left"/>
        <w:rPr>
          <w:rFonts w:ascii="Arial" w:hAnsi="Arial"/>
          <w:color w:val="000000"/>
          <w:sz w:val="20"/>
        </w:rPr>
      </w:pPr>
      <w:r>
        <w:rPr>
          <w:rFonts w:ascii="Arial" w:hAnsi="Arial"/>
          <w:color w:val="000000"/>
          <w:sz w:val="20"/>
        </w:rPr>
        <w:t>Jacksonville, Florida</w:t>
      </w:r>
    </w:p>
    <w:p>
      <w:pPr>
        <w:pStyle w:val="TextBody"/>
        <w:bidi w:val="0"/>
        <w:spacing w:before="0" w:after="120"/>
        <w:jc w:val="left"/>
        <w:rPr>
          <w:rFonts w:ascii="Arial" w:hAnsi="Arial"/>
          <w:color w:val="000000"/>
          <w:sz w:val="20"/>
        </w:rPr>
      </w:pPr>
      <w:r>
        <w:rPr>
          <w:rFonts w:ascii="Arial" w:hAnsi="Arial"/>
          <w:color w:val="000000"/>
          <w:sz w:val="20"/>
        </w:rPr>
        <w:t>May 8,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 w:name="tmci_exfilingfees.htm"/>
      <w:bookmarkStart w:id="8" w:name="kstmci_exfilingfees"/>
      <w:bookmarkEnd w:id="7"/>
      <w:bookmarkEnd w:id="8"/>
      <w:r>
        <w:rPr>
          <w:rFonts w:ascii="Times New Roman" w:hAnsi="Times New Roman"/>
          <w:b/>
          <w:color w:val="000000"/>
          <w:sz w:val="20"/>
        </w:rPr>
        <w:t>Exhibit 107.1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Form S-8</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(Form Type)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Treace Medical Concepts,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Table 1: Newly Registered Securities</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854"/>
        <w:gridCol w:w="1538"/>
        <w:gridCol w:w="1168"/>
        <w:gridCol w:w="1138"/>
        <w:gridCol w:w="1440"/>
        <w:gridCol w:w="1670"/>
        <w:gridCol w:w="1243"/>
        <w:gridCol w:w="1154"/>
      </w:tblGrid>
      <w:tr>
        <w:trPr/>
        <w:tc>
          <w:tcPr>
            <w:tcW w:w="85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854" w:type="dxa"/>
            <w:tcBorders>
              <w:top w:val="single" w:sz="4" w:space="0" w:color="000000"/>
              <w:left w:val="single" w:sz="4" w:space="0" w:color="000000"/>
              <w:bottom w:val="single" w:sz="4" w:space="0" w:color="000000"/>
            </w:tcBorders>
            <w:tcMar>
              <w:left w:w="53" w:type="dxa"/>
              <w:right w:w="0" w:type="dxa"/>
            </w:tcMar>
            <w:vAlign w:val="center"/>
          </w:tcPr>
          <w:p>
            <w:pPr>
              <w:pStyle w:val="TableContents"/>
              <w:bidi w:val="0"/>
              <w:spacing w:before="43" w:after="30"/>
              <w:jc w:val="center"/>
              <w:rPr>
                <w:rFonts w:ascii="Times New Roman" w:hAnsi="Times New Roman"/>
                <w:b/>
                <w:color w:val="000000"/>
                <w:sz w:val="16"/>
              </w:rPr>
            </w:pPr>
            <w:r>
              <w:rPr>
                <w:rFonts w:ascii="Times New Roman" w:hAnsi="Times New Roman"/>
                <w:b/>
                <w:color w:val="000000"/>
                <w:sz w:val="16"/>
              </w:rPr>
              <w:t>Security Type</w:t>
            </w:r>
          </w:p>
        </w:tc>
        <w:tc>
          <w:tcPr>
            <w:tcW w:w="1538" w:type="dxa"/>
            <w:tcBorders>
              <w:top w:val="single" w:sz="4" w:space="0" w:color="000000"/>
              <w:left w:val="single" w:sz="4" w:space="0" w:color="000000"/>
              <w:bottom w:val="single" w:sz="4" w:space="0" w:color="000000"/>
            </w:tcBorders>
            <w:tcMar>
              <w:left w:w="53" w:type="dxa"/>
              <w:right w:w="0" w:type="dxa"/>
            </w:tcMar>
            <w:vAlign w:val="center"/>
          </w:tcPr>
          <w:p>
            <w:pPr>
              <w:pStyle w:val="TableContents"/>
              <w:bidi w:val="0"/>
              <w:spacing w:before="43" w:after="30"/>
              <w:jc w:val="center"/>
              <w:rPr>
                <w:rFonts w:ascii="Times New Roman" w:hAnsi="Times New Roman"/>
                <w:b/>
                <w:color w:val="000000"/>
                <w:sz w:val="16"/>
              </w:rPr>
            </w:pPr>
            <w:r>
              <w:rPr>
                <w:rFonts w:ascii="Times New Roman" w:hAnsi="Times New Roman"/>
                <w:b/>
                <w:color w:val="000000"/>
                <w:sz w:val="16"/>
              </w:rPr>
              <w:t>Security Class Title</w:t>
            </w:r>
          </w:p>
        </w:tc>
        <w:tc>
          <w:tcPr>
            <w:tcW w:w="1168" w:type="dxa"/>
            <w:tcBorders>
              <w:top w:val="single" w:sz="4" w:space="0" w:color="000000"/>
              <w:left w:val="single" w:sz="4" w:space="0" w:color="000000"/>
              <w:bottom w:val="single" w:sz="4" w:space="0" w:color="000000"/>
            </w:tcBorders>
            <w:tcMar>
              <w:left w:w="53" w:type="dxa"/>
              <w:right w:w="0" w:type="dxa"/>
            </w:tcMar>
            <w:vAlign w:val="center"/>
          </w:tcPr>
          <w:p>
            <w:pPr>
              <w:pStyle w:val="TableContents"/>
              <w:bidi w:val="0"/>
              <w:spacing w:before="43" w:after="30"/>
              <w:jc w:val="center"/>
              <w:rPr>
                <w:rFonts w:ascii="Times New Roman" w:hAnsi="Times New Roman"/>
                <w:b/>
                <w:color w:val="000000"/>
                <w:sz w:val="16"/>
              </w:rPr>
            </w:pPr>
            <w:r>
              <w:rPr>
                <w:rFonts w:ascii="Times New Roman" w:hAnsi="Times New Roman"/>
                <w:b/>
                <w:color w:val="000000"/>
                <w:sz w:val="16"/>
              </w:rPr>
              <w:t>Fee Calculation Rule</w:t>
            </w:r>
          </w:p>
        </w:tc>
        <w:tc>
          <w:tcPr>
            <w:tcW w:w="1138" w:type="dxa"/>
            <w:tcBorders>
              <w:top w:val="single" w:sz="4" w:space="0" w:color="000000"/>
              <w:left w:val="single" w:sz="4" w:space="0" w:color="000000"/>
              <w:bottom w:val="single" w:sz="4" w:space="0" w:color="000000"/>
            </w:tcBorders>
            <w:tcMar>
              <w:left w:w="53" w:type="dxa"/>
              <w:right w:w="0" w:type="dxa"/>
            </w:tcMar>
            <w:vAlign w:val="center"/>
          </w:tcPr>
          <w:p>
            <w:pPr>
              <w:pStyle w:val="TableContents"/>
              <w:bidi w:val="0"/>
              <w:spacing w:before="43" w:after="30"/>
              <w:jc w:val="center"/>
              <w:rPr>
                <w:rFonts w:ascii="Times New Roman" w:hAnsi="Times New Roman"/>
                <w:sz w:val="16"/>
              </w:rPr>
            </w:pPr>
            <w:r>
              <w:rPr>
                <w:rFonts w:ascii="Times New Roman" w:hAnsi="Times New Roman"/>
                <w:b/>
                <w:color w:val="000000"/>
                <w:sz w:val="16"/>
              </w:rPr>
              <w:t>Amount Registered</w:t>
            </w:r>
            <w:r>
              <w:rPr>
                <w:rFonts w:ascii="Times New Roman" w:hAnsi="Times New Roman"/>
                <w:b/>
                <w:color w:val="000000"/>
                <w:sz w:val="11"/>
              </w:rPr>
              <w:t>(1)</w:t>
            </w:r>
          </w:p>
        </w:tc>
        <w:tc>
          <w:tcPr>
            <w:tcW w:w="1440" w:type="dxa"/>
            <w:tcBorders>
              <w:top w:val="single" w:sz="4" w:space="0" w:color="000000"/>
              <w:left w:val="single" w:sz="4" w:space="0" w:color="000000"/>
              <w:bottom w:val="single" w:sz="4" w:space="0" w:color="000000"/>
            </w:tcBorders>
            <w:tcMar>
              <w:left w:w="53" w:type="dxa"/>
              <w:right w:w="0" w:type="dxa"/>
            </w:tcMar>
            <w:vAlign w:val="center"/>
          </w:tcPr>
          <w:p>
            <w:pPr>
              <w:pStyle w:val="TableContents"/>
              <w:bidi w:val="0"/>
              <w:spacing w:before="43" w:after="283"/>
              <w:jc w:val="center"/>
              <w:rPr>
                <w:rFonts w:ascii="Times New Roman" w:hAnsi="Times New Roman"/>
                <w:b/>
                <w:color w:val="000000"/>
                <w:sz w:val="16"/>
              </w:rPr>
            </w:pPr>
            <w:r>
              <w:rPr>
                <w:rFonts w:ascii="Times New Roman" w:hAnsi="Times New Roman"/>
                <w:b/>
                <w:color w:val="000000"/>
                <w:sz w:val="16"/>
              </w:rPr>
              <w:t>Proposed Maximum Offering Price</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Per Unit</w:t>
            </w:r>
          </w:p>
        </w:tc>
        <w:tc>
          <w:tcPr>
            <w:tcW w:w="1670" w:type="dxa"/>
            <w:tcBorders>
              <w:top w:val="single" w:sz="4" w:space="0" w:color="000000"/>
              <w:left w:val="single" w:sz="4" w:space="0" w:color="000000"/>
              <w:bottom w:val="single" w:sz="4" w:space="0" w:color="000000"/>
            </w:tcBorders>
            <w:tcMar>
              <w:left w:w="53" w:type="dxa"/>
              <w:right w:w="0" w:type="dxa"/>
            </w:tcMar>
            <w:vAlign w:val="center"/>
          </w:tcPr>
          <w:p>
            <w:pPr>
              <w:pStyle w:val="TableContents"/>
              <w:bidi w:val="0"/>
              <w:spacing w:before="43" w:after="30"/>
              <w:jc w:val="center"/>
              <w:rPr>
                <w:rFonts w:ascii="Times New Roman" w:hAnsi="Times New Roman"/>
                <w:b/>
                <w:color w:val="000000"/>
                <w:sz w:val="16"/>
              </w:rPr>
            </w:pPr>
            <w:r>
              <w:rPr>
                <w:rFonts w:ascii="Times New Roman" w:hAnsi="Times New Roman"/>
                <w:b/>
                <w:color w:val="000000"/>
                <w:sz w:val="16"/>
              </w:rPr>
              <w:t>Maximum Aggregate Offering Price</w:t>
            </w:r>
          </w:p>
        </w:tc>
        <w:tc>
          <w:tcPr>
            <w:tcW w:w="1243" w:type="dxa"/>
            <w:tcBorders>
              <w:top w:val="single" w:sz="4" w:space="0" w:color="000000"/>
              <w:left w:val="single" w:sz="4" w:space="0" w:color="000000"/>
              <w:bottom w:val="single" w:sz="4" w:space="0" w:color="000000"/>
            </w:tcBorders>
            <w:tcMar>
              <w:left w:w="53" w:type="dxa"/>
              <w:right w:w="0" w:type="dxa"/>
            </w:tcMar>
            <w:vAlign w:val="center"/>
          </w:tcPr>
          <w:p>
            <w:pPr>
              <w:pStyle w:val="TableContents"/>
              <w:bidi w:val="0"/>
              <w:spacing w:before="43" w:after="30"/>
              <w:jc w:val="center"/>
              <w:rPr>
                <w:rFonts w:ascii="Times New Roman" w:hAnsi="Times New Roman"/>
                <w:b/>
                <w:color w:val="000000"/>
                <w:sz w:val="16"/>
              </w:rPr>
            </w:pPr>
            <w:r>
              <w:rPr>
                <w:rFonts w:ascii="Times New Roman" w:hAnsi="Times New Roman"/>
                <w:b/>
                <w:color w:val="000000"/>
                <w:sz w:val="16"/>
              </w:rPr>
              <w:t>Fee Rate</w:t>
            </w:r>
          </w:p>
        </w:tc>
        <w:tc>
          <w:tcPr>
            <w:tcW w:w="1154" w:type="dxa"/>
            <w:tcBorders>
              <w:top w:val="single" w:sz="4" w:space="0" w:color="000000"/>
              <w:left w:val="single" w:sz="4" w:space="0" w:color="000000"/>
              <w:bottom w:val="single" w:sz="4" w:space="0" w:color="000000"/>
              <w:right w:val="single" w:sz="4" w:space="0" w:color="000000"/>
            </w:tcBorders>
            <w:tcMar>
              <w:left w:w="53" w:type="dxa"/>
              <w:right w:w="53" w:type="dxa"/>
            </w:tcMar>
            <w:vAlign w:val="center"/>
          </w:tcPr>
          <w:p>
            <w:pPr>
              <w:pStyle w:val="TableContents"/>
              <w:bidi w:val="0"/>
              <w:spacing w:before="43" w:after="283"/>
              <w:jc w:val="center"/>
              <w:rPr>
                <w:rFonts w:ascii="Times New Roman" w:hAnsi="Times New Roman"/>
                <w:b/>
                <w:color w:val="000000"/>
                <w:sz w:val="16"/>
              </w:rPr>
            </w:pPr>
            <w:r>
              <w:rPr>
                <w:rFonts w:ascii="Times New Roman" w:hAnsi="Times New Roman"/>
                <w:b/>
                <w:color w:val="000000"/>
                <w:sz w:val="16"/>
              </w:rPr>
              <w:t>Amount of</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Registration Fee</w:t>
            </w:r>
          </w:p>
        </w:tc>
      </w:tr>
      <w:tr>
        <w:trPr/>
        <w:tc>
          <w:tcPr>
            <w:tcW w:w="854"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left"/>
              <w:rPr>
                <w:rFonts w:ascii="Times New Roman" w:hAnsi="Times New Roman"/>
                <w:color w:val="000000"/>
                <w:sz w:val="16"/>
              </w:rPr>
            </w:pPr>
            <w:r>
              <w:rPr>
                <w:rFonts w:ascii="Times New Roman" w:hAnsi="Times New Roman"/>
                <w:color w:val="000000"/>
                <w:sz w:val="16"/>
              </w:rPr>
              <w:t>Equity</w:t>
            </w:r>
          </w:p>
        </w:tc>
        <w:tc>
          <w:tcPr>
            <w:tcW w:w="1538"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left"/>
              <w:rPr>
                <w:rFonts w:ascii="Times New Roman" w:hAnsi="Times New Roman"/>
                <w:color w:val="000000"/>
                <w:sz w:val="16"/>
              </w:rPr>
            </w:pPr>
            <w:r>
              <w:rPr>
                <w:rFonts w:ascii="Times New Roman" w:hAnsi="Times New Roman"/>
                <w:color w:val="000000"/>
                <w:sz w:val="16"/>
              </w:rPr>
              <w:t>Common Stock, $0.001 par value per share</w:t>
            </w:r>
          </w:p>
        </w:tc>
        <w:tc>
          <w:tcPr>
            <w:tcW w:w="1168"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center"/>
              <w:rPr>
                <w:rFonts w:ascii="Times New Roman" w:hAnsi="Times New Roman"/>
                <w:sz w:val="16"/>
              </w:rPr>
            </w:pPr>
            <w:r>
              <w:rPr>
                <w:rFonts w:ascii="Times New Roman" w:hAnsi="Times New Roman"/>
                <w:color w:val="000000"/>
                <w:sz w:val="16"/>
              </w:rPr>
              <w:t>Other</w:t>
            </w:r>
            <w:r>
              <w:rPr>
                <w:rFonts w:ascii="Times New Roman" w:hAnsi="Times New Roman"/>
                <w:color w:val="000000"/>
                <w:sz w:val="11"/>
              </w:rPr>
              <w:t>(2)</w:t>
            </w:r>
          </w:p>
        </w:tc>
        <w:tc>
          <w:tcPr>
            <w:tcW w:w="1138"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center"/>
              <w:rPr>
                <w:rFonts w:ascii="Times New Roman" w:hAnsi="Times New Roman"/>
                <w:sz w:val="16"/>
              </w:rPr>
            </w:pPr>
            <w:r>
              <w:rPr>
                <w:rFonts w:ascii="Times New Roman" w:hAnsi="Times New Roman"/>
                <w:color w:val="000000"/>
                <w:sz w:val="16"/>
              </w:rPr>
              <w:t>3,831,831</w:t>
            </w:r>
            <w:r>
              <w:rPr>
                <w:rFonts w:ascii="Times New Roman" w:hAnsi="Times New Roman"/>
                <w:color w:val="000000"/>
                <w:sz w:val="11"/>
              </w:rPr>
              <w:t>(3)</w:t>
            </w:r>
          </w:p>
        </w:tc>
        <w:tc>
          <w:tcPr>
            <w:tcW w:w="1440"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center"/>
              <w:rPr>
                <w:rFonts w:ascii="Times New Roman" w:hAnsi="Times New Roman"/>
                <w:sz w:val="16"/>
              </w:rPr>
            </w:pPr>
            <w:r>
              <w:rPr>
                <w:rFonts w:ascii="Times New Roman" w:hAnsi="Times New Roman"/>
                <w:color w:val="000000"/>
                <w:sz w:val="16"/>
              </w:rPr>
              <w:t>$1.81</w:t>
            </w:r>
            <w:r>
              <w:rPr>
                <w:rFonts w:ascii="Times New Roman" w:hAnsi="Times New Roman"/>
                <w:color w:val="000000"/>
                <w:sz w:val="11"/>
              </w:rPr>
              <w:t>(2)</w:t>
            </w:r>
          </w:p>
        </w:tc>
        <w:tc>
          <w:tcPr>
            <w:tcW w:w="1670"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center"/>
              <w:rPr>
                <w:rFonts w:ascii="Times New Roman" w:hAnsi="Times New Roman"/>
                <w:color w:val="000000"/>
                <w:sz w:val="16"/>
              </w:rPr>
            </w:pPr>
            <w:r>
              <w:rPr>
                <w:rFonts w:ascii="Times New Roman" w:hAnsi="Times New Roman"/>
                <w:color w:val="000000"/>
                <w:sz w:val="16"/>
              </w:rPr>
              <w:t>$6,935,614.11</w:t>
            </w:r>
          </w:p>
        </w:tc>
        <w:tc>
          <w:tcPr>
            <w:tcW w:w="1243"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center"/>
              <w:rPr>
                <w:rFonts w:ascii="Times New Roman" w:hAnsi="Times New Roman"/>
                <w:sz w:val="20"/>
              </w:rPr>
            </w:pPr>
            <w:r>
              <w:rPr>
                <w:rFonts w:ascii="Times New Roman" w:hAnsi="Times New Roman"/>
                <w:color w:val="000000"/>
                <w:sz w:val="16"/>
              </w:rPr>
              <w:t>$138.10</w:t>
            </w:r>
            <w:r>
              <w:rPr>
                <w:rFonts w:ascii="Times New Roman" w:hAnsi="Times New Roman"/>
                <w:color w:val="000000"/>
                <w:sz w:val="20"/>
              </w:rPr>
              <w:t> </w:t>
            </w:r>
            <w:r>
              <w:rPr>
                <w:rFonts w:ascii="Times New Roman" w:hAnsi="Times New Roman"/>
                <w:color w:val="000000"/>
                <w:sz w:val="16"/>
              </w:rPr>
              <w:t>per $1,000,000</w:t>
            </w:r>
          </w:p>
        </w:tc>
        <w:tc>
          <w:tcPr>
            <w:tcW w:w="1154" w:type="dxa"/>
            <w:tcBorders>
              <w:left w:val="single" w:sz="4" w:space="0" w:color="000000"/>
              <w:bottom w:val="single" w:sz="4" w:space="0" w:color="000000"/>
              <w:right w:val="single" w:sz="4" w:space="0" w:color="000000"/>
            </w:tcBorders>
            <w:tcMar>
              <w:top w:w="0" w:type="dxa"/>
              <w:left w:w="53" w:type="dxa"/>
              <w:right w:w="53" w:type="dxa"/>
            </w:tcMar>
            <w:vAlign w:val="center"/>
          </w:tcPr>
          <w:p>
            <w:pPr>
              <w:pStyle w:val="TableContents"/>
              <w:bidi w:val="0"/>
              <w:spacing w:before="43" w:after="30"/>
              <w:jc w:val="center"/>
              <w:rPr>
                <w:rFonts w:ascii="Times New Roman" w:hAnsi="Times New Roman"/>
                <w:color w:val="000000"/>
                <w:sz w:val="16"/>
              </w:rPr>
            </w:pPr>
            <w:r>
              <w:rPr>
                <w:rFonts w:ascii="Times New Roman" w:hAnsi="Times New Roman"/>
                <w:color w:val="000000"/>
                <w:sz w:val="16"/>
              </w:rPr>
              <w:t>$957.81</w:t>
            </w:r>
          </w:p>
          <w:p>
            <w:pPr>
              <w:pStyle w:val="TableContents"/>
              <w:bidi w:val="0"/>
              <w:jc w:val="left"/>
              <w:rPr/>
            </w:pPr>
            <w:r>
              <w:rPr/>
              <w:t> </w:t>
            </w:r>
          </w:p>
          <w:p>
            <w:pPr>
              <w:pStyle w:val="TableContents"/>
              <w:bidi w:val="0"/>
              <w:spacing w:before="0" w:after="283"/>
              <w:jc w:val="left"/>
              <w:rPr/>
            </w:pPr>
            <w:r>
              <w:rPr/>
              <w:t> </w:t>
            </w:r>
          </w:p>
        </w:tc>
      </w:tr>
      <w:tr>
        <w:trPr/>
        <w:tc>
          <w:tcPr>
            <w:tcW w:w="4698" w:type="dxa"/>
            <w:gridSpan w:val="4"/>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left"/>
              <w:rPr>
                <w:rFonts w:ascii="Times New Roman" w:hAnsi="Times New Roman"/>
                <w:b/>
                <w:color w:val="000000"/>
                <w:sz w:val="16"/>
              </w:rPr>
            </w:pPr>
            <w:r>
              <w:rPr>
                <w:rFonts w:ascii="Times New Roman" w:hAnsi="Times New Roman"/>
                <w:b/>
                <w:color w:val="000000"/>
                <w:sz w:val="16"/>
              </w:rPr>
              <w:t>Total Offering Amounts</w:t>
            </w:r>
          </w:p>
        </w:tc>
        <w:tc>
          <w:tcPr>
            <w:tcW w:w="1440"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43" w:after="30"/>
              <w:jc w:val="left"/>
              <w:rPr/>
            </w:pPr>
            <w:r>
              <w:rPr/>
              <w:t> </w:t>
            </w:r>
          </w:p>
        </w:tc>
        <w:tc>
          <w:tcPr>
            <w:tcW w:w="1670"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center"/>
              <w:rPr>
                <w:rFonts w:ascii="Times New Roman" w:hAnsi="Times New Roman"/>
                <w:color w:val="000000"/>
                <w:sz w:val="16"/>
              </w:rPr>
            </w:pPr>
            <w:r>
              <w:rPr>
                <w:rFonts w:ascii="Times New Roman" w:hAnsi="Times New Roman"/>
                <w:color w:val="000000"/>
                <w:sz w:val="16"/>
              </w:rPr>
              <w:t>$6,935,614.11</w:t>
            </w:r>
          </w:p>
          <w:p>
            <w:pPr>
              <w:pStyle w:val="TableContents"/>
              <w:bidi w:val="0"/>
              <w:spacing w:before="0" w:after="283"/>
              <w:jc w:val="left"/>
              <w:rPr/>
            </w:pPr>
            <w:r>
              <w:rPr/>
              <w:t> </w:t>
            </w:r>
          </w:p>
        </w:tc>
        <w:tc>
          <w:tcPr>
            <w:tcW w:w="1243" w:type="dxa"/>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left"/>
              <w:rPr/>
            </w:pPr>
            <w:r>
              <w:rPr/>
              <w:t> </w:t>
            </w:r>
          </w:p>
        </w:tc>
        <w:tc>
          <w:tcPr>
            <w:tcW w:w="1154" w:type="dxa"/>
            <w:tcBorders>
              <w:left w:val="single" w:sz="4" w:space="0" w:color="000000"/>
              <w:bottom w:val="single" w:sz="4" w:space="0" w:color="000000"/>
              <w:right w:val="single" w:sz="4" w:space="0" w:color="000000"/>
            </w:tcBorders>
            <w:tcMar>
              <w:top w:w="0" w:type="dxa"/>
              <w:left w:w="53" w:type="dxa"/>
            </w:tcMar>
            <w:vAlign w:val="center"/>
          </w:tcPr>
          <w:p>
            <w:pPr>
              <w:pStyle w:val="TableContents"/>
              <w:bidi w:val="0"/>
              <w:spacing w:before="43" w:after="30"/>
              <w:jc w:val="center"/>
              <w:rPr>
                <w:rFonts w:ascii="Times New Roman" w:hAnsi="Times New Roman"/>
                <w:color w:val="000000"/>
                <w:sz w:val="16"/>
              </w:rPr>
            </w:pPr>
            <w:r>
              <w:rPr>
                <w:rFonts w:ascii="Times New Roman" w:hAnsi="Times New Roman"/>
                <w:color w:val="000000"/>
                <w:sz w:val="16"/>
              </w:rPr>
              <w:t>$957.81</w:t>
            </w:r>
          </w:p>
          <w:p>
            <w:pPr>
              <w:pStyle w:val="TableContents"/>
              <w:bidi w:val="0"/>
              <w:spacing w:before="0" w:after="283"/>
              <w:jc w:val="left"/>
              <w:rPr/>
            </w:pPr>
            <w:r>
              <w:rPr/>
              <w:t> </w:t>
            </w:r>
          </w:p>
        </w:tc>
      </w:tr>
      <w:tr>
        <w:trPr/>
        <w:tc>
          <w:tcPr>
            <w:tcW w:w="4698" w:type="dxa"/>
            <w:gridSpan w:val="4"/>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left"/>
              <w:rPr>
                <w:rFonts w:ascii="Times New Roman" w:hAnsi="Times New Roman"/>
                <w:sz w:val="16"/>
              </w:rPr>
            </w:pPr>
            <w:r>
              <w:rPr>
                <w:rFonts w:ascii="Times New Roman" w:hAnsi="Times New Roman"/>
                <w:b/>
                <w:color w:val="000000"/>
                <w:sz w:val="16"/>
              </w:rPr>
              <w:t>Total Fee Offsets</w:t>
            </w:r>
            <w:r>
              <w:rPr>
                <w:rFonts w:ascii="Times New Roman" w:hAnsi="Times New Roman"/>
                <w:b/>
                <w:color w:val="000000"/>
                <w:sz w:val="11"/>
              </w:rPr>
              <w:t>(4)</w:t>
            </w:r>
          </w:p>
        </w:tc>
        <w:tc>
          <w:tcPr>
            <w:tcW w:w="1440"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43" w:after="30"/>
              <w:jc w:val="left"/>
              <w:rPr/>
            </w:pPr>
            <w:r>
              <w:rPr/>
              <w:t> </w:t>
            </w:r>
          </w:p>
        </w:tc>
        <w:tc>
          <w:tcPr>
            <w:tcW w:w="1670"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243"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154" w:type="dxa"/>
            <w:tcBorders>
              <w:left w:val="single" w:sz="4" w:space="0" w:color="000000"/>
              <w:bottom w:val="single" w:sz="4" w:space="0" w:color="000000"/>
              <w:right w:val="single" w:sz="4" w:space="0" w:color="000000"/>
            </w:tcBorders>
            <w:tcMar>
              <w:top w:w="0" w:type="dxa"/>
              <w:left w:w="53" w:type="dxa"/>
            </w:tcMar>
            <w:vAlign w:val="center"/>
          </w:tcPr>
          <w:p>
            <w:pPr>
              <w:pStyle w:val="TableContents"/>
              <w:bidi w:val="0"/>
              <w:spacing w:before="43" w:after="30"/>
              <w:jc w:val="center"/>
              <w:rPr>
                <w:rFonts w:ascii="Times New Roman" w:hAnsi="Times New Roman"/>
                <w:color w:val="000000"/>
                <w:sz w:val="16"/>
              </w:rPr>
            </w:pPr>
            <w:r>
              <w:rPr>
                <w:rFonts w:ascii="Times New Roman" w:hAnsi="Times New Roman"/>
                <w:color w:val="000000"/>
                <w:sz w:val="16"/>
              </w:rPr>
              <w:t>$--</w:t>
            </w:r>
          </w:p>
        </w:tc>
      </w:tr>
      <w:tr>
        <w:trPr/>
        <w:tc>
          <w:tcPr>
            <w:tcW w:w="4698" w:type="dxa"/>
            <w:gridSpan w:val="4"/>
            <w:tcBorders>
              <w:left w:val="single" w:sz="4" w:space="0" w:color="000000"/>
              <w:bottom w:val="single" w:sz="4" w:space="0" w:color="000000"/>
            </w:tcBorders>
            <w:tcMar>
              <w:top w:w="0" w:type="dxa"/>
              <w:left w:w="53" w:type="dxa"/>
              <w:right w:w="0" w:type="dxa"/>
            </w:tcMar>
            <w:vAlign w:val="center"/>
          </w:tcPr>
          <w:p>
            <w:pPr>
              <w:pStyle w:val="TableContents"/>
              <w:bidi w:val="0"/>
              <w:spacing w:before="43" w:after="30"/>
              <w:jc w:val="left"/>
              <w:rPr>
                <w:rFonts w:ascii="Times New Roman" w:hAnsi="Times New Roman"/>
                <w:b/>
                <w:color w:val="000000"/>
                <w:sz w:val="16"/>
              </w:rPr>
            </w:pPr>
            <w:r>
              <w:rPr>
                <w:rFonts w:ascii="Times New Roman" w:hAnsi="Times New Roman"/>
                <w:b/>
                <w:color w:val="000000"/>
                <w:sz w:val="16"/>
              </w:rPr>
              <w:t>Net Fee Due</w:t>
            </w:r>
          </w:p>
        </w:tc>
        <w:tc>
          <w:tcPr>
            <w:tcW w:w="1440"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43" w:after="30"/>
              <w:jc w:val="left"/>
              <w:rPr/>
            </w:pPr>
            <w:r>
              <w:rPr/>
              <w:t> </w:t>
            </w:r>
          </w:p>
        </w:tc>
        <w:tc>
          <w:tcPr>
            <w:tcW w:w="1670"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243"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154" w:type="dxa"/>
            <w:tcBorders>
              <w:left w:val="single" w:sz="4" w:space="0" w:color="000000"/>
              <w:bottom w:val="single" w:sz="4" w:space="0" w:color="000000"/>
              <w:right w:val="single" w:sz="4" w:space="0" w:color="000000"/>
            </w:tcBorders>
            <w:tcMar>
              <w:top w:w="0" w:type="dxa"/>
              <w:left w:w="53" w:type="dxa"/>
            </w:tcMar>
            <w:vAlign w:val="center"/>
          </w:tcPr>
          <w:p>
            <w:pPr>
              <w:pStyle w:val="TableContents"/>
              <w:bidi w:val="0"/>
              <w:spacing w:before="43" w:after="30"/>
              <w:jc w:val="center"/>
              <w:rPr>
                <w:rFonts w:ascii="Times New Roman" w:hAnsi="Times New Roman"/>
                <w:color w:val="000000"/>
                <w:sz w:val="16"/>
              </w:rPr>
            </w:pPr>
            <w:r>
              <w:rPr>
                <w:rFonts w:ascii="Times New Roman" w:hAnsi="Times New Roman"/>
                <w:color w:val="000000"/>
                <w:sz w:val="16"/>
              </w:rPr>
              <w:t>$957.81</w:t>
            </w:r>
          </w:p>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Estimated solely for the purpose of calculating the registration fee pursuant to Rules 457(c) and 457(h) of the Securities Act of 1933, as amended, and based upon the average of the high and low prices of the Registrant’s common stock as reported on The Nasdaq Global Select Market on May 1,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Consists of (i) 3,193,193 additional shares of the Registrant’s common stock that became available for issuance on January 1, 2026 under the 2021 Incentive Award Plan by operation of an automatic annual increase provision therein and (ii) 638,638 additional shares of the Registrant’s common stock that became available for issuance on January 1, 2026 under the 2021 Employee Stock Purchase Plan by operation of an automatic annual increase provision therein.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Registrant does not have any fee offsets.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30627/000119312521134333/d138051ds8.htm" TargetMode="External"/><Relationship Id="rId3" Type="http://schemas.openxmlformats.org/officeDocument/2006/relationships/hyperlink" Target="https://www.sec.gov/Archives/edgar/data/d310748ds8.htm/000119312522066349/0001193125-22-066349-index.html" TargetMode="External"/><Relationship Id="rId4" Type="http://schemas.openxmlformats.org/officeDocument/2006/relationships/hyperlink" Target="https://www.sec.gov/Archives/edgar/data/1630627/000119312523064488/d433368ds8.htm" TargetMode="External"/><Relationship Id="rId5" Type="http://schemas.openxmlformats.org/officeDocument/2006/relationships/hyperlink" Target="https://www.sec.gov/Archives/edgar/data/1630627/000095017024057076/form_s-8_2024_evergreen_.htm" TargetMode="External"/><Relationship Id="rId6" Type="http://schemas.openxmlformats.org/officeDocument/2006/relationships/hyperlink" Target="https://www.sec.gov/Archives/edgar/data/1630627/000095017025067555/form_s-8_2025_evergreen_.htm" TargetMode="External"/><Relationship Id="rId7" Type="http://schemas.openxmlformats.org/officeDocument/2006/relationships/hyperlink" Target="https://www.sec.gov/Archives/edgar/data/1630627/000119312521134507/d178909dex31.htm" TargetMode="External"/><Relationship Id="rId8" Type="http://schemas.openxmlformats.org/officeDocument/2006/relationships/hyperlink" Target="https://www.sec.gov/Archives/edgar/data/1630627/000119312521134507/d178909dex32.htm" TargetMode="External"/><Relationship Id="rId9" Type="http://schemas.openxmlformats.org/officeDocument/2006/relationships/hyperlink" Target="https://www.sec.gov/Archives/edgar/data/1630627/000119312521120293/d111748dex42.htm" TargetMode="External"/><Relationship Id="rId10" Type="http://schemas.openxmlformats.org/officeDocument/2006/relationships/hyperlink" Target="https://www.sec.gov/Archives/edgar/data/1630627/000119312521120293/d111748dex42.htm" TargetMode="External"/><Relationship Id="rId11" Type="http://schemas.openxmlformats.org/officeDocument/2006/relationships/hyperlink" Target="https://www.sec.gov/Archives/edgar/data/0001630627/000119312521134333/d138051dex992.htm" TargetMode="External"/><Relationship Id="rId12" Type="http://schemas.openxmlformats.org/officeDocument/2006/relationships/hyperlink" Target="https://www.sec.gov/Archives/edgar/data/0001630627/000119312521134333/d138051dex992.htm" TargetMode="External"/><Relationship Id="rId13" Type="http://schemas.openxmlformats.org/officeDocument/2006/relationships/hyperlink" Target="https://www.sec.gov/Archives/edgar/data/0001630627/000119312521134333/d138051dex993.htm" TargetMode="External"/><Relationship Id="rId14" Type="http://schemas.openxmlformats.org/officeDocument/2006/relationships/hyperlink" Target="https://www.sec.gov/Archives/edgar/data/0001630627/000119312521134333/d138051dex993.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1976</Words>
  <Characters>10573</Characters>
  <CharactersWithSpaces>12569</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