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19, 2026</w:t>
      </w:r>
    </w:p>
    <w:p>
      <w:pPr>
        <w:spacing w:after="0" w:line="12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TREACE MEDICAL CONCEPTS,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p>
      <w:pPr>
        <w:spacing w:after="0" w:line="390"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7"/>
          <w:szCs w:val="17"/>
          <w:b w:val="1"/>
          <w:bCs w:val="1"/>
          <w:color w:val="auto"/>
        </w:rPr>
        <w:t>001-40355</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47-1052611</w:t>
      </w:r>
    </w:p>
    <w:p>
      <w:pPr>
        <w:spacing w:after="0" w:line="12" w:lineRule="exact"/>
        <w:rPr>
          <w:sz w:val="24"/>
          <w:szCs w:val="24"/>
          <w:color w:val="auto"/>
        </w:rPr>
      </w:pPr>
    </w:p>
    <w:p>
      <w:pPr>
        <w:sectPr>
          <w:pgSz w:w="11900" w:h="16838" w:orient="portrait"/>
          <w:cols w:equalWidth="0" w:num="3">
            <w:col w:w="4640" w:space="720"/>
            <w:col w:w="2920" w:space="720"/>
            <w:col w:w="2240"/>
          </w:cols>
          <w:pgMar w:left="320" w:top="1091" w:right="339" w:bottom="1440" w:gutter="0" w:footer="0" w:header="0"/>
          <w:type w:val="continuous"/>
        </w:sect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88" w:lineRule="exact"/>
        <w:rPr>
          <w:sz w:val="24"/>
          <w:szCs w:val="24"/>
          <w:color w:val="auto"/>
        </w:rPr>
      </w:pPr>
    </w:p>
    <w:p>
      <w:pPr>
        <w:sectPr>
          <w:pgSz w:w="11900" w:h="16838" w:orient="portrait"/>
          <w:cols w:equalWidth="0" w:num="3">
            <w:col w:w="4620" w:space="720"/>
            <w:col w:w="2680" w:space="720"/>
            <w:col w:w="2500"/>
          </w:cols>
          <w:pgMar w:left="320" w:top="1091"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 Palmetto Park Place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Ponte Vedra, Florida 32081</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(904) 373-5940</w:t>
      </w:r>
    </w:p>
    <w:p>
      <w:pPr>
        <w:sectPr>
          <w:pgSz w:w="11900" w:h="16838" w:orient="portrait"/>
          <w:cols w:equalWidth="0" w:num="1">
            <w:col w:w="11240"/>
          </w:cols>
          <w:pgMar w:left="320" w:top="1091" w:right="339" w:bottom="1440" w:gutter="0" w:footer="0" w:header="0"/>
          <w:type w:val="continuous"/>
        </w:sectPr>
      </w:pPr>
    </w:p>
    <w:p>
      <w:pPr>
        <w:spacing w:after="0" w:line="26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7" w:lineRule="exact"/>
        <w:rPr>
          <w:sz w:val="24"/>
          <w:szCs w:val="24"/>
          <w:color w:val="auto"/>
        </w:rPr>
      </w:pPr>
    </w:p>
    <w:p>
      <w:pPr>
        <w:ind w:left="1020" w:hanging="553"/>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1020" w:hanging="553"/>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1020" w:hanging="553"/>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1020" w:hanging="553"/>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tc>
        <w:tc>
          <w:tcPr>
            <w:tcW w:w="1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TMCI</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bl>
    <w:p>
      <w:pPr>
        <w:spacing w:after="0" w:line="202" w:lineRule="exact"/>
        <w:rPr>
          <w:sz w:val="24"/>
          <w:szCs w:val="24"/>
          <w:color w:val="auto"/>
        </w:rPr>
      </w:pPr>
    </w:p>
    <w:p>
      <w:pPr>
        <w:jc w:val="both"/>
        <w:ind w:right="50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8920"/>
        <w:spacing w:after="0" w:line="18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20"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the 2026 Annual Meeting of Stockholders (the "Meeting") of Treace Medical Concepts, Inc. (the "Company") held on May 19, 2026, the stockholders of the Company voted on the following proposals, each of which is described in the Company’s Definitive Proxy Statement on Schedule 14A filed with the Securities and Exchange Commission on April 6, 2026. The results of voting on the three proposals, including final voting tabulations, are set forth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stockholders elected, by the votes indicated below, the following nominees to the Company’s Board of Directors to serve as Class II directors for a three-year term of office expiring at the 2029 annual meeting of stockholders or until their respective successors have been duly elected and qualified:</w:t>
      </w:r>
    </w:p>
    <w:p>
      <w:pPr>
        <w:spacing w:after="0" w:line="239" w:lineRule="exact"/>
        <w:rPr>
          <w:sz w:val="20"/>
          <w:szCs w:val="20"/>
          <w:color w:val="auto"/>
        </w:rPr>
      </w:pPr>
    </w:p>
    <w:tbl>
      <w:tblPr>
        <w:tblLayout w:type="fixed"/>
        <w:tblInd w:w="800" w:type="dxa"/>
        <w:tblCellMar>
          <w:top w:w="0" w:type="dxa"/>
          <w:left w:w="0" w:type="dxa"/>
          <w:bottom w:w="0" w:type="dxa"/>
          <w:right w:w="0" w:type="dxa"/>
        </w:tblCellMar>
      </w:tblPr>
      <w:tr>
        <w:trPr>
          <w:trHeight w:val="238"/>
        </w:trPr>
        <w:tc>
          <w:tcPr>
            <w:tcW w:w="3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0" w:type="dxa"/>
            <w:vAlign w:val="bottom"/>
          </w:tcPr>
          <w:p>
            <w:pPr>
              <w:spacing w:after="0"/>
              <w:rPr>
                <w:sz w:val="20"/>
                <w:szCs w:val="20"/>
                <w:color w:val="auto"/>
              </w:rPr>
            </w:pPr>
          </w:p>
        </w:tc>
        <w:tc>
          <w:tcPr>
            <w:tcW w:w="14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60" w:type="dxa"/>
            <w:vAlign w:val="bottom"/>
          </w:tcPr>
          <w:p>
            <w:pPr>
              <w:spacing w:after="0"/>
              <w:rPr>
                <w:sz w:val="20"/>
                <w:szCs w:val="20"/>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372"/>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Lance A. Berry</w:t>
            </w:r>
          </w:p>
        </w:tc>
        <w:tc>
          <w:tcPr>
            <w:tcW w:w="17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33,804,407</w:t>
            </w:r>
          </w:p>
        </w:tc>
        <w:tc>
          <w:tcPr>
            <w:tcW w:w="16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820,723</w:t>
            </w:r>
          </w:p>
        </w:tc>
        <w:tc>
          <w:tcPr>
            <w:tcW w:w="27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13,516,432</w:t>
            </w:r>
          </w:p>
        </w:tc>
      </w:tr>
      <w:tr>
        <w:trPr>
          <w:trHeight w:val="378"/>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Elizabeth S. Hanna</w:t>
            </w:r>
          </w:p>
        </w:tc>
        <w:tc>
          <w:tcPr>
            <w:tcW w:w="17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30,856,965</w:t>
            </w:r>
          </w:p>
        </w:tc>
        <w:tc>
          <w:tcPr>
            <w:tcW w:w="16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3,768,165</w:t>
            </w:r>
          </w:p>
        </w:tc>
        <w:tc>
          <w:tcPr>
            <w:tcW w:w="27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13,516,432</w:t>
            </w:r>
          </w:p>
        </w:tc>
      </w:tr>
      <w:tr>
        <w:trPr>
          <w:trHeight w:val="378"/>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Jane E. Kiernan</w:t>
            </w:r>
          </w:p>
        </w:tc>
        <w:tc>
          <w:tcPr>
            <w:tcW w:w="17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33,587,226</w:t>
            </w:r>
          </w:p>
        </w:tc>
        <w:tc>
          <w:tcPr>
            <w:tcW w:w="16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1,037,904</w:t>
            </w:r>
          </w:p>
        </w:tc>
        <w:tc>
          <w:tcPr>
            <w:tcW w:w="27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13,516,432</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Advisory Vote on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vote stated below, the stockholders approved, on an advisory, non-binding basis, the compensation of the Company's named executive officers:</w:t>
      </w:r>
    </w:p>
    <w:p>
      <w:pPr>
        <w:spacing w:after="0" w:line="289"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2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For</w:t>
            </w:r>
          </w:p>
        </w:tc>
        <w:tc>
          <w:tcPr>
            <w:tcW w:w="24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6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4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372"/>
        </w:trPr>
        <w:tc>
          <w:tcPr>
            <w:tcW w:w="2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32,785,505</w:t>
            </w:r>
          </w:p>
        </w:tc>
        <w:tc>
          <w:tcPr>
            <w:tcW w:w="15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1,724,383</w:t>
            </w:r>
          </w:p>
        </w:tc>
        <w:tc>
          <w:tcPr>
            <w:tcW w:w="13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115,242</w:t>
            </w:r>
          </w:p>
        </w:tc>
        <w:tc>
          <w:tcPr>
            <w:tcW w:w="282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13,516,432</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Ratification of Selection of Independent Registered Public Accounting Firm.</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By the vote stated below, the stockholders ratified the appointment of Grant Thornton LLP as the Company’s independent registered public accounting firm for the fiscal year ending December 31,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00" w:type="dxa"/>
            <w:vAlign w:val="bottom"/>
            <w:tcBorders>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For</w:t>
            </w:r>
          </w:p>
        </w:tc>
        <w:tc>
          <w:tcPr>
            <w:tcW w:w="240" w:type="dxa"/>
            <w:vAlign w:val="bottom"/>
          </w:tcPr>
          <w:p>
            <w:pPr>
              <w:spacing w:after="0"/>
              <w:rPr>
                <w:sz w:val="20"/>
                <w:szCs w:val="20"/>
                <w:color w:val="auto"/>
              </w:rPr>
            </w:pPr>
          </w:p>
        </w:tc>
        <w:tc>
          <w:tcPr>
            <w:tcW w:w="13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6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4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372"/>
        </w:trPr>
        <w:tc>
          <w:tcPr>
            <w:tcW w:w="1100" w:type="dxa"/>
            <w:vAlign w:val="bottom"/>
          </w:tcPr>
          <w:p>
            <w:pPr>
              <w:spacing w:after="0"/>
              <w:rPr>
                <w:sz w:val="24"/>
                <w:szCs w:val="24"/>
                <w:color w:val="auto"/>
              </w:rPr>
            </w:pPr>
          </w:p>
        </w:tc>
        <w:tc>
          <w:tcPr>
            <w:tcW w:w="270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47,885,305</w:t>
            </w:r>
          </w:p>
        </w:tc>
        <w:tc>
          <w:tcPr>
            <w:tcW w:w="240" w:type="dxa"/>
            <w:vAlign w:val="bottom"/>
          </w:tcPr>
          <w:p>
            <w:pPr>
              <w:spacing w:after="0"/>
              <w:rPr>
                <w:sz w:val="24"/>
                <w:szCs w:val="24"/>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120,733</w:t>
            </w:r>
          </w:p>
        </w:tc>
        <w:tc>
          <w:tcPr>
            <w:tcW w:w="13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135,524</w:t>
            </w:r>
          </w:p>
        </w:tc>
        <w:tc>
          <w:tcPr>
            <w:tcW w:w="282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rPr>
              <w:t>0</w:t>
            </w:r>
          </w:p>
        </w:tc>
      </w:tr>
      <w:tr>
        <w:trPr>
          <w:trHeight w:val="64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9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80"/>
        </w:trPr>
        <w:tc>
          <w:tcPr>
            <w:tcW w:w="1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Exhibit No.</w:t>
            </w:r>
          </w:p>
        </w:tc>
        <w:tc>
          <w:tcPr>
            <w:tcW w:w="2940" w:type="dxa"/>
            <w:vAlign w:val="bottom"/>
            <w:gridSpan w:val="3"/>
          </w:tcPr>
          <w:p>
            <w:pPr>
              <w:jc w:val="right"/>
              <w:ind w:right="1980"/>
              <w:spacing w:after="0"/>
              <w:rPr>
                <w:sz w:val="20"/>
                <w:szCs w:val="20"/>
                <w:color w:val="auto"/>
              </w:rPr>
            </w:pPr>
            <w:r>
              <w:rPr>
                <w:rFonts w:ascii="Times New Roman" w:cs="Times New Roman" w:eastAsia="Times New Roman" w:hAnsi="Times New Roman"/>
                <w:sz w:val="14"/>
                <w:szCs w:val="14"/>
                <w:color w:val="auto"/>
              </w:rPr>
              <w:t>Description</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400" w:hanging="1392"/>
        <w:spacing w:after="0"/>
        <w:tabs>
          <w:tab w:leader="none" w:pos="1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TREACE MEDICAL CONCEPTS, INC.</w:t>
            </w:r>
          </w:p>
        </w:tc>
      </w:tr>
      <w:tr>
        <w:trPr>
          <w:trHeight w:val="44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Mark L. Hair</w:t>
            </w:r>
          </w:p>
        </w:tc>
      </w:tr>
      <w:tr>
        <w:trPr>
          <w:trHeight w:val="218"/>
        </w:trPr>
        <w:tc>
          <w:tcPr>
            <w:tcW w:w="3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Mark L. Hair</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35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2026-05-20T16:53:04Z</dcterms:created>
  <dcterms:modified xsi:type="dcterms:W3CDTF">2026-05-20T16:53:04Z</dcterms:modified>
</cp:coreProperties>
</file>